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97A" w:rsidRPr="00422581" w:rsidRDefault="0079797A" w:rsidP="0079797A">
      <w:pPr>
        <w:spacing w:line="760" w:lineRule="exact"/>
        <w:jc w:val="center"/>
        <w:rPr>
          <w:rFonts w:asciiTheme="minorEastAsia" w:eastAsiaTheme="minorEastAsia" w:hAnsiTheme="minorEastAsia"/>
          <w:spacing w:val="-20"/>
          <w:sz w:val="44"/>
          <w:szCs w:val="44"/>
        </w:rPr>
      </w:pPr>
      <w:r w:rsidRPr="00422581">
        <w:rPr>
          <w:rFonts w:asciiTheme="minorEastAsia" w:eastAsiaTheme="minorEastAsia" w:hAnsiTheme="minorEastAsia" w:hint="eastAsia"/>
          <w:spacing w:val="-20"/>
          <w:sz w:val="44"/>
          <w:szCs w:val="44"/>
        </w:rPr>
        <w:t>“十三五”高等教育“创新强校工程”考核办法</w:t>
      </w:r>
    </w:p>
    <w:p w:rsidR="0079797A" w:rsidRPr="0054099E" w:rsidRDefault="0079797A" w:rsidP="0079797A">
      <w:pPr>
        <w:spacing w:line="760" w:lineRule="exact"/>
        <w:jc w:val="center"/>
        <w:rPr>
          <w:rFonts w:ascii="楷体" w:eastAsia="楷体" w:hAnsi="楷体"/>
          <w:szCs w:val="32"/>
        </w:rPr>
      </w:pPr>
      <w:r w:rsidRPr="0054099E">
        <w:rPr>
          <w:rFonts w:ascii="楷体" w:eastAsia="楷体" w:hAnsi="楷体" w:hint="eastAsia"/>
          <w:szCs w:val="32"/>
        </w:rPr>
        <w:t>（</w:t>
      </w:r>
      <w:r w:rsidR="00691F84">
        <w:rPr>
          <w:rFonts w:ascii="楷体" w:eastAsia="楷体" w:hAnsi="楷体" w:hint="eastAsia"/>
          <w:szCs w:val="32"/>
        </w:rPr>
        <w:t>送审</w:t>
      </w:r>
      <w:r w:rsidRPr="0054099E">
        <w:rPr>
          <w:rFonts w:ascii="楷体" w:eastAsia="楷体" w:hAnsi="楷体" w:hint="eastAsia"/>
          <w:szCs w:val="32"/>
        </w:rPr>
        <w:t>稿）</w:t>
      </w:r>
    </w:p>
    <w:p w:rsidR="0079797A" w:rsidRPr="0054099E" w:rsidRDefault="0079797A" w:rsidP="0079797A">
      <w:pPr>
        <w:spacing w:line="560" w:lineRule="exact"/>
        <w:jc w:val="center"/>
        <w:outlineLvl w:val="0"/>
        <w:rPr>
          <w:rFonts w:ascii="Times New Roman" w:eastAsia="楷体_GB2312"/>
          <w:szCs w:val="32"/>
        </w:rPr>
      </w:pPr>
    </w:p>
    <w:p w:rsidR="0079797A" w:rsidRPr="0054099E" w:rsidRDefault="0079797A" w:rsidP="00D82256">
      <w:pPr>
        <w:spacing w:line="560" w:lineRule="exact"/>
        <w:ind w:firstLineChars="200" w:firstLine="640"/>
        <w:rPr>
          <w:rFonts w:ascii="Times New Roman"/>
          <w:szCs w:val="32"/>
        </w:rPr>
      </w:pPr>
      <w:r w:rsidRPr="0054099E">
        <w:rPr>
          <w:rFonts w:ascii="Times New Roman"/>
          <w:szCs w:val="32"/>
        </w:rPr>
        <w:t>为加强广东省高等教育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建设成效的考核，根据广东省教育厅、广东省财政厅制定的《广东省</w:t>
      </w:r>
      <w:r w:rsidRPr="0054099E">
        <w:rPr>
          <w:rFonts w:ascii="Times New Roman" w:hint="eastAsia"/>
          <w:szCs w:val="32"/>
        </w:rPr>
        <w:t>“十三五”</w:t>
      </w:r>
      <w:r w:rsidRPr="0054099E">
        <w:rPr>
          <w:rFonts w:ascii="Times New Roman"/>
          <w:szCs w:val="32"/>
        </w:rPr>
        <w:t>高等教育</w:t>
      </w:r>
      <w:r w:rsidRPr="0054099E">
        <w:rPr>
          <w:rFonts w:ascii="Times New Roman" w:hint="eastAsia"/>
          <w:szCs w:val="32"/>
        </w:rPr>
        <w:t>“</w:t>
      </w:r>
      <w:r w:rsidRPr="0054099E">
        <w:rPr>
          <w:rFonts w:ascii="Times New Roman"/>
          <w:szCs w:val="32"/>
        </w:rPr>
        <w:t>创新强校工程</w:t>
      </w:r>
      <w:r w:rsidRPr="0054099E">
        <w:rPr>
          <w:rFonts w:ascii="Times New Roman" w:hint="eastAsia"/>
          <w:szCs w:val="32"/>
        </w:rPr>
        <w:t>”总体</w:t>
      </w:r>
      <w:r w:rsidRPr="0054099E">
        <w:rPr>
          <w:rFonts w:ascii="Times New Roman"/>
          <w:szCs w:val="32"/>
        </w:rPr>
        <w:t>方案》（粤教高函</w:t>
      </w:r>
      <w:r w:rsidRPr="0054099E">
        <w:rPr>
          <w:rFonts w:ascii="Times New Roman" w:hint="eastAsia"/>
          <w:szCs w:val="32"/>
        </w:rPr>
        <w:t>〔</w:t>
      </w:r>
      <w:r w:rsidRPr="0054099E">
        <w:rPr>
          <w:rFonts w:ascii="Times New Roman" w:hint="eastAsia"/>
          <w:szCs w:val="32"/>
        </w:rPr>
        <w:t>2016</w:t>
      </w:r>
      <w:r w:rsidRPr="0054099E">
        <w:rPr>
          <w:rFonts w:ascii="Times New Roman" w:hint="eastAsia"/>
          <w:szCs w:val="32"/>
        </w:rPr>
        <w:t>〕</w:t>
      </w:r>
      <w:r w:rsidRPr="0054099E">
        <w:rPr>
          <w:rFonts w:ascii="Times New Roman" w:hint="eastAsia"/>
          <w:szCs w:val="32"/>
        </w:rPr>
        <w:t xml:space="preserve">  </w:t>
      </w:r>
      <w:r w:rsidRPr="0054099E">
        <w:rPr>
          <w:rFonts w:ascii="Times New Roman"/>
          <w:szCs w:val="32"/>
        </w:rPr>
        <w:t>号），现制定《广东省</w:t>
      </w:r>
      <w:r w:rsidRPr="0054099E">
        <w:rPr>
          <w:rFonts w:ascii="Times New Roman" w:hint="eastAsia"/>
          <w:szCs w:val="32"/>
        </w:rPr>
        <w:t>“十三五”</w:t>
      </w:r>
      <w:r w:rsidRPr="0054099E">
        <w:rPr>
          <w:rFonts w:ascii="Times New Roman"/>
          <w:szCs w:val="32"/>
        </w:rPr>
        <w:t>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考核办法（试行）》。</w:t>
      </w:r>
    </w:p>
    <w:p w:rsidR="0079797A" w:rsidRPr="0054099E" w:rsidRDefault="0079797A" w:rsidP="0079797A">
      <w:pPr>
        <w:spacing w:line="560" w:lineRule="exact"/>
        <w:ind w:rightChars="-51" w:right="-163"/>
        <w:rPr>
          <w:rFonts w:ascii="Times New Roman" w:eastAsia="黑体"/>
          <w:bCs/>
          <w:szCs w:val="32"/>
        </w:rPr>
      </w:pPr>
      <w:r w:rsidRPr="0054099E">
        <w:rPr>
          <w:rFonts w:ascii="Times New Roman"/>
          <w:bCs/>
          <w:szCs w:val="32"/>
        </w:rPr>
        <w:t xml:space="preserve">    </w:t>
      </w:r>
      <w:r w:rsidRPr="0054099E">
        <w:rPr>
          <w:rFonts w:ascii="Times New Roman" w:eastAsia="黑体"/>
          <w:bCs/>
          <w:szCs w:val="32"/>
        </w:rPr>
        <w:t>一、试行范围</w:t>
      </w:r>
    </w:p>
    <w:p w:rsidR="0079797A" w:rsidRPr="0054099E" w:rsidRDefault="0079797A" w:rsidP="0079797A">
      <w:pPr>
        <w:spacing w:line="560" w:lineRule="exact"/>
        <w:ind w:rightChars="-51" w:right="-163" w:firstLine="645"/>
        <w:rPr>
          <w:rFonts w:ascii="Times New Roman"/>
          <w:bCs/>
          <w:szCs w:val="32"/>
        </w:rPr>
      </w:pPr>
      <w:r w:rsidRPr="0054099E">
        <w:rPr>
          <w:rFonts w:ascii="Times New Roman"/>
          <w:szCs w:val="32"/>
        </w:rPr>
        <w:t>广东省高等教育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考核</w:t>
      </w:r>
      <w:r w:rsidRPr="0054099E">
        <w:rPr>
          <w:rFonts w:ascii="Times New Roman"/>
          <w:bCs/>
          <w:szCs w:val="32"/>
        </w:rPr>
        <w:t>范围是实施</w:t>
      </w:r>
      <w:r w:rsidRPr="0054099E">
        <w:rPr>
          <w:rFonts w:ascii="Times New Roman"/>
          <w:szCs w:val="32"/>
        </w:rPr>
        <w:t>广东省高等教育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00F35DB2" w:rsidRPr="0054099E">
        <w:rPr>
          <w:rFonts w:ascii="Times New Roman"/>
          <w:bCs/>
          <w:szCs w:val="32"/>
        </w:rPr>
        <w:t>的普通本科高等学校</w:t>
      </w:r>
      <w:r w:rsidRPr="0054099E">
        <w:rPr>
          <w:rFonts w:ascii="Times New Roman"/>
          <w:bCs/>
          <w:szCs w:val="32"/>
        </w:rPr>
        <w:t>。</w:t>
      </w:r>
    </w:p>
    <w:p w:rsidR="0079797A" w:rsidRPr="0054099E" w:rsidRDefault="0079797A" w:rsidP="0079797A">
      <w:pPr>
        <w:spacing w:line="560" w:lineRule="exact"/>
        <w:ind w:rightChars="-51" w:right="-163"/>
        <w:rPr>
          <w:rFonts w:ascii="Times New Roman" w:eastAsia="黑体"/>
          <w:bCs/>
          <w:szCs w:val="32"/>
        </w:rPr>
      </w:pPr>
      <w:r w:rsidRPr="0054099E">
        <w:rPr>
          <w:rFonts w:ascii="Times New Roman"/>
          <w:bCs/>
          <w:szCs w:val="32"/>
        </w:rPr>
        <w:t xml:space="preserve">    </w:t>
      </w:r>
      <w:r w:rsidRPr="0054099E">
        <w:rPr>
          <w:rFonts w:ascii="Times New Roman" w:eastAsia="黑体"/>
          <w:bCs/>
          <w:szCs w:val="32"/>
        </w:rPr>
        <w:t>二、考核原则</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w:t>
      </w:r>
      <w:r w:rsidRPr="0054099E">
        <w:rPr>
          <w:rFonts w:ascii="Times New Roman" w:eastAsia="楷体_GB2312"/>
          <w:bCs/>
          <w:szCs w:val="32"/>
        </w:rPr>
        <w:t>（一）客观公正原则。</w:t>
      </w:r>
      <w:r w:rsidRPr="0054099E">
        <w:rPr>
          <w:rFonts w:ascii="Times New Roman"/>
          <w:bCs/>
          <w:szCs w:val="32"/>
        </w:rPr>
        <w:t>考核工作从实际出发，实事求是、公平公正地反映各高校实施</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bCs/>
          <w:szCs w:val="32"/>
        </w:rPr>
        <w:t>的</w:t>
      </w:r>
      <w:r w:rsidRPr="0054099E">
        <w:rPr>
          <w:rFonts w:ascii="Times New Roman"/>
          <w:szCs w:val="32"/>
        </w:rPr>
        <w:t>建设成效</w:t>
      </w:r>
      <w:r w:rsidRPr="0054099E">
        <w:rPr>
          <w:rFonts w:ascii="Times New Roman"/>
          <w:bCs/>
          <w:szCs w:val="32"/>
        </w:rPr>
        <w:t>。</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w:t>
      </w:r>
      <w:r w:rsidRPr="0054099E">
        <w:rPr>
          <w:rFonts w:ascii="Times New Roman" w:eastAsia="楷体_GB2312"/>
          <w:bCs/>
          <w:szCs w:val="32"/>
        </w:rPr>
        <w:t>（二）导向性原则。</w:t>
      </w:r>
      <w:r w:rsidRPr="0054099E">
        <w:rPr>
          <w:rFonts w:ascii="Times New Roman"/>
          <w:bCs/>
          <w:szCs w:val="32"/>
        </w:rPr>
        <w:t>通过发挥考核指标的导向作用，促进各高校认真贯彻落实国家和省关于提高高等教育质量的工作部署，深化改革，发挥优势，办出特色，提高办学水平。</w:t>
      </w:r>
    </w:p>
    <w:p w:rsidR="00D82256" w:rsidRPr="00D82256" w:rsidRDefault="0079797A" w:rsidP="00D82256">
      <w:pPr>
        <w:snapToGrid w:val="0"/>
        <w:spacing w:line="560" w:lineRule="exact"/>
        <w:ind w:firstLineChars="200" w:firstLine="640"/>
        <w:rPr>
          <w:rFonts w:ascii="Times New Roman"/>
          <w:color w:val="000000"/>
          <w:szCs w:val="32"/>
          <w:u w:val="single"/>
        </w:rPr>
      </w:pPr>
      <w:r w:rsidRPr="0054099E">
        <w:rPr>
          <w:rFonts w:ascii="Times New Roman" w:eastAsia="楷体_GB2312"/>
          <w:bCs/>
          <w:szCs w:val="32"/>
        </w:rPr>
        <w:t>（三）分类指导原则。</w:t>
      </w:r>
      <w:r w:rsidR="00D82256" w:rsidRPr="00D82256">
        <w:rPr>
          <w:rFonts w:ascii="Times New Roman" w:hint="eastAsia"/>
          <w:color w:val="000000"/>
          <w:szCs w:val="32"/>
        </w:rPr>
        <w:t>综合考虑各类型高校的办学层次、办学类型和</w:t>
      </w:r>
      <w:r w:rsidR="00D82256" w:rsidRPr="00D82256">
        <w:rPr>
          <w:rFonts w:ascii="Times New Roman"/>
          <w:color w:val="000000"/>
          <w:szCs w:val="32"/>
        </w:rPr>
        <w:t>建设</w:t>
      </w:r>
      <w:r w:rsidR="00D82256" w:rsidRPr="00D82256">
        <w:rPr>
          <w:rFonts w:ascii="Times New Roman" w:hint="eastAsia"/>
          <w:color w:val="000000"/>
          <w:szCs w:val="32"/>
        </w:rPr>
        <w:t>目标，各高校按照</w:t>
      </w:r>
      <w:r w:rsidR="00D82256" w:rsidRPr="00D82256">
        <w:rPr>
          <w:rFonts w:ascii="Times New Roman"/>
          <w:color w:val="000000"/>
          <w:szCs w:val="32"/>
        </w:rPr>
        <w:t>高水平大学</w:t>
      </w:r>
      <w:r w:rsidR="00D82256" w:rsidRPr="00D82256">
        <w:rPr>
          <w:rFonts w:ascii="Times New Roman" w:hint="eastAsia"/>
          <w:color w:val="000000"/>
          <w:szCs w:val="32"/>
        </w:rPr>
        <w:t>建设、高水平理工科大学</w:t>
      </w:r>
      <w:r w:rsidR="00D82256" w:rsidRPr="00D82256">
        <w:rPr>
          <w:rFonts w:ascii="Times New Roman"/>
          <w:color w:val="000000"/>
          <w:szCs w:val="32"/>
        </w:rPr>
        <w:t>建设</w:t>
      </w:r>
      <w:r w:rsidR="00D82256" w:rsidRPr="00D82256">
        <w:rPr>
          <w:rFonts w:ascii="Times New Roman" w:hint="eastAsia"/>
          <w:color w:val="000000"/>
          <w:szCs w:val="32"/>
        </w:rPr>
        <w:t>、应用型本科高校建设、高职院校建设等</w:t>
      </w:r>
      <w:r w:rsidR="00D82256" w:rsidRPr="00D82256">
        <w:rPr>
          <w:rFonts w:ascii="Times New Roman" w:hint="eastAsia"/>
          <w:color w:val="000000"/>
          <w:szCs w:val="32"/>
        </w:rPr>
        <w:t>4</w:t>
      </w:r>
      <w:r w:rsidR="00D82256" w:rsidRPr="00D82256">
        <w:rPr>
          <w:rFonts w:ascii="Times New Roman" w:hint="eastAsia"/>
          <w:color w:val="000000"/>
          <w:szCs w:val="32"/>
        </w:rPr>
        <w:t>种类型进行分类建设</w:t>
      </w:r>
      <w:r w:rsidR="00D82256">
        <w:rPr>
          <w:rFonts w:ascii="Times New Roman" w:hint="eastAsia"/>
          <w:color w:val="000000"/>
          <w:szCs w:val="32"/>
        </w:rPr>
        <w:t>，分类制定考核指标体系和考核办法。</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w:t>
      </w:r>
      <w:r w:rsidRPr="0054099E">
        <w:rPr>
          <w:rFonts w:ascii="Times New Roman" w:eastAsia="楷体_GB2312"/>
          <w:bCs/>
          <w:szCs w:val="32"/>
        </w:rPr>
        <w:t>（四）探索创新原则。</w:t>
      </w:r>
      <w:r w:rsidRPr="0054099E">
        <w:rPr>
          <w:rFonts w:ascii="Times New Roman"/>
          <w:bCs/>
          <w:szCs w:val="32"/>
        </w:rPr>
        <w:t>对考核指标实行动态管理，今后根据高等教育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bCs/>
          <w:szCs w:val="32"/>
        </w:rPr>
        <w:t>的实施情况，不断加以完善和规范。</w:t>
      </w:r>
    </w:p>
    <w:p w:rsidR="0079797A" w:rsidRPr="0054099E" w:rsidRDefault="0079797A" w:rsidP="0079797A">
      <w:pPr>
        <w:spacing w:line="560" w:lineRule="exact"/>
        <w:ind w:rightChars="-51" w:right="-163"/>
        <w:rPr>
          <w:rFonts w:ascii="Times New Roman" w:eastAsia="黑体"/>
          <w:bCs/>
          <w:szCs w:val="32"/>
        </w:rPr>
      </w:pPr>
      <w:r w:rsidRPr="0054099E">
        <w:rPr>
          <w:rFonts w:ascii="Times New Roman"/>
          <w:bCs/>
          <w:szCs w:val="32"/>
        </w:rPr>
        <w:t xml:space="preserve">    </w:t>
      </w:r>
      <w:r w:rsidRPr="0054099E">
        <w:rPr>
          <w:rFonts w:ascii="Times New Roman" w:eastAsia="黑体"/>
          <w:bCs/>
          <w:szCs w:val="32"/>
        </w:rPr>
        <w:t>三、考核指标</w:t>
      </w:r>
    </w:p>
    <w:p w:rsidR="0079797A" w:rsidRPr="0054099E" w:rsidRDefault="0079797A" w:rsidP="0079797A">
      <w:pPr>
        <w:spacing w:line="560" w:lineRule="exact"/>
        <w:ind w:rightChars="-51" w:right="-163" w:firstLineChars="200" w:firstLine="640"/>
        <w:rPr>
          <w:rFonts w:ascii="Times New Roman"/>
          <w:bCs/>
          <w:szCs w:val="32"/>
        </w:rPr>
      </w:pPr>
      <w:r w:rsidRPr="0054099E">
        <w:rPr>
          <w:rFonts w:ascii="Times New Roman" w:hint="eastAsia"/>
          <w:szCs w:val="32"/>
        </w:rPr>
        <w:lastRenderedPageBreak/>
        <w:t>考核指标体系</w:t>
      </w:r>
      <w:r w:rsidR="00CE39C8">
        <w:rPr>
          <w:rFonts w:ascii="Times New Roman" w:hint="eastAsia"/>
          <w:szCs w:val="32"/>
        </w:rPr>
        <w:t>主要</w:t>
      </w:r>
      <w:r w:rsidR="00D82256">
        <w:rPr>
          <w:rFonts w:ascii="Times New Roman" w:hint="eastAsia"/>
          <w:szCs w:val="32"/>
        </w:rPr>
        <w:t>用于</w:t>
      </w:r>
      <w:r w:rsidRPr="0054099E">
        <w:rPr>
          <w:rFonts w:ascii="Times New Roman" w:hint="eastAsia"/>
          <w:szCs w:val="32"/>
        </w:rPr>
        <w:t>高水平大学重点项目建设</w:t>
      </w:r>
      <w:r w:rsidRPr="0054099E">
        <w:rPr>
          <w:rFonts w:ascii="Times New Roman"/>
          <w:szCs w:val="32"/>
        </w:rPr>
        <w:t>高校、</w:t>
      </w:r>
      <w:r w:rsidRPr="0054099E">
        <w:rPr>
          <w:rFonts w:ascii="Times New Roman" w:hint="eastAsia"/>
          <w:szCs w:val="32"/>
        </w:rPr>
        <w:t>应用型</w:t>
      </w:r>
      <w:r w:rsidR="00963F4C">
        <w:rPr>
          <w:rFonts w:ascii="Times New Roman" w:hint="eastAsia"/>
          <w:szCs w:val="32"/>
        </w:rPr>
        <w:t>硕士授权高校、应用型</w:t>
      </w:r>
      <w:r w:rsidR="00F71CCF">
        <w:rPr>
          <w:rFonts w:ascii="Times New Roman" w:hint="eastAsia"/>
          <w:szCs w:val="32"/>
        </w:rPr>
        <w:t>一般</w:t>
      </w:r>
      <w:r w:rsidR="00963F4C" w:rsidRPr="0054099E">
        <w:rPr>
          <w:rFonts w:ascii="Times New Roman" w:hint="eastAsia"/>
          <w:szCs w:val="32"/>
        </w:rPr>
        <w:t>公办</w:t>
      </w:r>
      <w:r w:rsidR="00D82256">
        <w:rPr>
          <w:rFonts w:ascii="Times New Roman" w:hint="eastAsia"/>
          <w:szCs w:val="32"/>
        </w:rPr>
        <w:t>本科</w:t>
      </w:r>
      <w:r w:rsidRPr="0054099E">
        <w:rPr>
          <w:rFonts w:ascii="Times New Roman" w:hint="eastAsia"/>
          <w:szCs w:val="32"/>
        </w:rPr>
        <w:t>高校和应用型民办本科高校等</w:t>
      </w:r>
      <w:r w:rsidR="00963F4C">
        <w:rPr>
          <w:rFonts w:ascii="Times New Roman" w:hint="eastAsia"/>
          <w:szCs w:val="32"/>
        </w:rPr>
        <w:t>4</w:t>
      </w:r>
      <w:r w:rsidRPr="0054099E">
        <w:rPr>
          <w:rFonts w:ascii="Times New Roman"/>
          <w:szCs w:val="32"/>
        </w:rPr>
        <w:t>种类型</w:t>
      </w:r>
      <w:r w:rsidR="00D82256">
        <w:rPr>
          <w:rFonts w:ascii="Times New Roman" w:hint="eastAsia"/>
          <w:szCs w:val="32"/>
        </w:rPr>
        <w:t>高校的考核</w:t>
      </w:r>
      <w:r w:rsidR="006E12D9">
        <w:rPr>
          <w:rFonts w:ascii="Times New Roman" w:hint="eastAsia"/>
          <w:szCs w:val="32"/>
        </w:rPr>
        <w:t>（高水平大学重点建设高校、高水平大学重点学科建设项目、</w:t>
      </w:r>
      <w:r w:rsidR="00963F4C">
        <w:rPr>
          <w:rFonts w:ascii="Times New Roman" w:hint="eastAsia"/>
          <w:szCs w:val="32"/>
        </w:rPr>
        <w:t>高水平理工科大学建设高校、</w:t>
      </w:r>
      <w:r w:rsidR="006E12D9">
        <w:rPr>
          <w:rFonts w:ascii="Times New Roman" w:hint="eastAsia"/>
          <w:szCs w:val="32"/>
        </w:rPr>
        <w:t>高职院校绩效考核办法另行制定）</w:t>
      </w:r>
      <w:r w:rsidRPr="0054099E">
        <w:rPr>
          <w:rFonts w:ascii="Times New Roman"/>
          <w:bCs/>
          <w:szCs w:val="32"/>
        </w:rPr>
        <w:t>。</w:t>
      </w:r>
      <w:r w:rsidRPr="0054099E">
        <w:rPr>
          <w:rFonts w:ascii="Times New Roman" w:hint="eastAsia"/>
          <w:szCs w:val="32"/>
        </w:rPr>
        <w:t>各类</w:t>
      </w:r>
      <w:r w:rsidR="00D82256">
        <w:rPr>
          <w:rFonts w:ascii="Times New Roman" w:hint="eastAsia"/>
          <w:szCs w:val="32"/>
        </w:rPr>
        <w:t>高校</w:t>
      </w:r>
      <w:r w:rsidRPr="0054099E">
        <w:rPr>
          <w:rFonts w:ascii="Times New Roman"/>
          <w:bCs/>
          <w:szCs w:val="32"/>
        </w:rPr>
        <w:t>考核指标体系均由</w:t>
      </w:r>
      <w:r w:rsidRPr="0054099E">
        <w:rPr>
          <w:rFonts w:ascii="Times New Roman"/>
          <w:bCs/>
          <w:szCs w:val="32"/>
        </w:rPr>
        <w:t>6</w:t>
      </w:r>
      <w:r w:rsidRPr="0054099E">
        <w:rPr>
          <w:rFonts w:ascii="Times New Roman"/>
          <w:bCs/>
          <w:szCs w:val="32"/>
        </w:rPr>
        <w:t>个一级指标组成，分别为：</w:t>
      </w:r>
      <w:r w:rsidRPr="0054099E">
        <w:rPr>
          <w:rFonts w:ascii="Times New Roman"/>
          <w:szCs w:val="32"/>
        </w:rPr>
        <w:t>体制机制改革与协同创新、师资队伍、人才培养、</w:t>
      </w:r>
      <w:r w:rsidRPr="0054099E">
        <w:rPr>
          <w:rFonts w:ascii="Times New Roman" w:hint="eastAsia"/>
          <w:szCs w:val="32"/>
        </w:rPr>
        <w:t>学科建设和</w:t>
      </w:r>
      <w:r w:rsidRPr="0054099E">
        <w:rPr>
          <w:rFonts w:ascii="Times New Roman"/>
          <w:szCs w:val="32"/>
        </w:rPr>
        <w:t>科学研究、</w:t>
      </w:r>
      <w:r w:rsidRPr="0054099E">
        <w:rPr>
          <w:rFonts w:ascii="Times New Roman" w:hint="eastAsia"/>
          <w:szCs w:val="32"/>
        </w:rPr>
        <w:t>社会服务、</w:t>
      </w:r>
      <w:r w:rsidRPr="0054099E">
        <w:rPr>
          <w:rFonts w:ascii="Times New Roman"/>
          <w:szCs w:val="32"/>
        </w:rPr>
        <w:t>综合管理绩效评价，满分值</w:t>
      </w:r>
      <w:r w:rsidRPr="0054099E">
        <w:rPr>
          <w:rFonts w:ascii="Times New Roman"/>
          <w:szCs w:val="32"/>
        </w:rPr>
        <w:t>100</w:t>
      </w:r>
      <w:r w:rsidRPr="0054099E">
        <w:rPr>
          <w:rFonts w:ascii="Times New Roman"/>
          <w:szCs w:val="32"/>
        </w:rPr>
        <w:t>分。考核不同类型高校的一级指标的所占分值（权重）不同。各一级指标下设</w:t>
      </w:r>
      <w:r w:rsidR="00745F0D">
        <w:rPr>
          <w:rFonts w:ascii="Times New Roman" w:hint="eastAsia"/>
          <w:szCs w:val="32"/>
        </w:rPr>
        <w:t>21-23</w:t>
      </w:r>
      <w:r w:rsidRPr="0054099E">
        <w:rPr>
          <w:rFonts w:ascii="Times New Roman"/>
          <w:szCs w:val="32"/>
        </w:rPr>
        <w:t>个二级指标</w:t>
      </w:r>
      <w:r w:rsidR="00F35DB2" w:rsidRPr="0054099E">
        <w:rPr>
          <w:rFonts w:ascii="Times New Roman" w:hint="eastAsia"/>
          <w:szCs w:val="32"/>
        </w:rPr>
        <w:t>，二级指标下设若干个</w:t>
      </w:r>
      <w:r w:rsidR="00963F4C">
        <w:rPr>
          <w:rFonts w:ascii="Times New Roman" w:hint="eastAsia"/>
          <w:szCs w:val="32"/>
        </w:rPr>
        <w:t>三级指标，针对不同类型高校在三级指标中设若干个核心指标。考核指标</w:t>
      </w:r>
      <w:r w:rsidRPr="0054099E">
        <w:rPr>
          <w:rFonts w:ascii="Times New Roman"/>
          <w:szCs w:val="32"/>
        </w:rPr>
        <w:t>既有定量考核指标，由经核实的相关数据直接计算得分；也有定性考核指标，由专家评审确定得分。</w:t>
      </w:r>
      <w:r w:rsidRPr="0054099E">
        <w:rPr>
          <w:rFonts w:ascii="Times New Roman"/>
          <w:bCs/>
          <w:szCs w:val="32"/>
        </w:rPr>
        <w:t>一级指标得分为各二级指标得分之和，一级指标、二级指标</w:t>
      </w:r>
      <w:r w:rsidR="00963F4C">
        <w:rPr>
          <w:rFonts w:ascii="Times New Roman" w:hint="eastAsia"/>
          <w:bCs/>
          <w:szCs w:val="32"/>
        </w:rPr>
        <w:t>、三级指标</w:t>
      </w:r>
      <w:r w:rsidRPr="0054099E">
        <w:rPr>
          <w:rFonts w:ascii="Times New Roman"/>
          <w:bCs/>
          <w:szCs w:val="32"/>
        </w:rPr>
        <w:t>得分均不得超过该指标的满分值。</w:t>
      </w:r>
      <w:r w:rsidRPr="0054099E">
        <w:rPr>
          <w:rFonts w:ascii="Times New Roman"/>
          <w:szCs w:val="32"/>
        </w:rPr>
        <w:t>考核指标是高校有针对性地开展建设工作、管理部门实施管理与考核的重要依据。</w:t>
      </w:r>
      <w:r w:rsidRPr="0054099E">
        <w:rPr>
          <w:rFonts w:ascii="Times New Roman"/>
          <w:bCs/>
          <w:szCs w:val="32"/>
        </w:rPr>
        <w:t>考核指标及评分办法详见附件。</w:t>
      </w:r>
      <w:bookmarkStart w:id="0" w:name="_GoBack"/>
      <w:bookmarkEnd w:id="0"/>
    </w:p>
    <w:p w:rsidR="0079797A" w:rsidRPr="0054099E" w:rsidRDefault="0079797A" w:rsidP="0079797A">
      <w:pPr>
        <w:spacing w:line="560" w:lineRule="exact"/>
        <w:ind w:rightChars="-51" w:right="-163"/>
        <w:rPr>
          <w:rFonts w:ascii="Times New Roman" w:eastAsia="黑体"/>
          <w:bCs/>
          <w:szCs w:val="32"/>
        </w:rPr>
      </w:pPr>
      <w:r w:rsidRPr="0054099E">
        <w:rPr>
          <w:rFonts w:ascii="Times New Roman"/>
          <w:bCs/>
          <w:szCs w:val="32"/>
        </w:rPr>
        <w:t xml:space="preserve">    </w:t>
      </w:r>
      <w:r w:rsidRPr="0054099E">
        <w:rPr>
          <w:rFonts w:ascii="Times New Roman" w:eastAsia="黑体"/>
          <w:bCs/>
          <w:szCs w:val="32"/>
        </w:rPr>
        <w:t>四、考核程序</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1</w:t>
      </w:r>
      <w:r w:rsidRPr="0054099E">
        <w:rPr>
          <w:rFonts w:ascii="Times New Roman"/>
          <w:bCs/>
          <w:szCs w:val="32"/>
        </w:rPr>
        <w:t>．</w:t>
      </w:r>
      <w:r w:rsidRPr="0054099E">
        <w:rPr>
          <w:rFonts w:ascii="Times New Roman"/>
          <w:szCs w:val="32"/>
        </w:rPr>
        <w:t>省教育厅、财政厅共同组织广东省高等教育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考核工作。</w:t>
      </w:r>
      <w:r w:rsidRPr="0054099E">
        <w:rPr>
          <w:rFonts w:ascii="Times New Roman"/>
          <w:bCs/>
          <w:szCs w:val="32"/>
        </w:rPr>
        <w:t>每年</w:t>
      </w:r>
      <w:r w:rsidRPr="0054099E">
        <w:rPr>
          <w:rFonts w:ascii="Times New Roman" w:hint="eastAsia"/>
          <w:bCs/>
          <w:szCs w:val="32"/>
        </w:rPr>
        <w:t>6</w:t>
      </w:r>
      <w:r w:rsidRPr="0054099E">
        <w:rPr>
          <w:rFonts w:ascii="Times New Roman"/>
          <w:bCs/>
          <w:szCs w:val="32"/>
        </w:rPr>
        <w:t>月份对各高校上一年度</w:t>
      </w:r>
      <w:r w:rsidR="00F35DB2" w:rsidRPr="0054099E">
        <w:rPr>
          <w:rFonts w:ascii="Times New Roman"/>
          <w:bCs/>
          <w:szCs w:val="32"/>
        </w:rPr>
        <w:t xml:space="preserve"> </w:t>
      </w:r>
      <w:r w:rsidRPr="0054099E">
        <w:rPr>
          <w:rFonts w:ascii="Times New Roman"/>
          <w:bCs/>
          <w:szCs w:val="32"/>
        </w:rPr>
        <w:t>“</w:t>
      </w:r>
      <w:r w:rsidRPr="0054099E">
        <w:rPr>
          <w:rFonts w:ascii="Times New Roman"/>
          <w:szCs w:val="32"/>
        </w:rPr>
        <w:t>创新强校工程</w:t>
      </w:r>
      <w:r w:rsidRPr="0054099E">
        <w:rPr>
          <w:rFonts w:ascii="Times New Roman"/>
          <w:szCs w:val="32"/>
        </w:rPr>
        <w:t>”</w:t>
      </w:r>
      <w:r w:rsidR="00F35DB2" w:rsidRPr="0054099E">
        <w:rPr>
          <w:rFonts w:ascii="Times New Roman" w:hint="eastAsia"/>
          <w:szCs w:val="32"/>
        </w:rPr>
        <w:t>实施情况</w:t>
      </w:r>
      <w:r w:rsidRPr="0054099E">
        <w:rPr>
          <w:rFonts w:ascii="Times New Roman"/>
          <w:bCs/>
          <w:szCs w:val="32"/>
        </w:rPr>
        <w:t>进行业绩考核。</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2</w:t>
      </w:r>
      <w:r w:rsidRPr="0054099E">
        <w:rPr>
          <w:rFonts w:ascii="Times New Roman"/>
          <w:bCs/>
          <w:szCs w:val="32"/>
        </w:rPr>
        <w:t>．各高校根据考核指标和评分办法进行自评，并提交自评书面报告及相关</w:t>
      </w:r>
      <w:r w:rsidRPr="0054099E">
        <w:rPr>
          <w:rFonts w:ascii="Times New Roman" w:hint="eastAsia"/>
          <w:bCs/>
          <w:szCs w:val="32"/>
        </w:rPr>
        <w:t>佐证</w:t>
      </w:r>
      <w:r w:rsidRPr="0054099E">
        <w:rPr>
          <w:rFonts w:ascii="Times New Roman"/>
          <w:bCs/>
          <w:szCs w:val="32"/>
        </w:rPr>
        <w:t>材料。</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3</w:t>
      </w:r>
      <w:r w:rsidRPr="0054099E">
        <w:rPr>
          <w:rFonts w:ascii="Times New Roman"/>
          <w:bCs/>
          <w:szCs w:val="32"/>
        </w:rPr>
        <w:t>．</w:t>
      </w:r>
      <w:r w:rsidRPr="0054099E">
        <w:rPr>
          <w:rFonts w:ascii="Times New Roman"/>
          <w:szCs w:val="32"/>
        </w:rPr>
        <w:t>省教育厅高等教育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bCs/>
          <w:szCs w:val="32"/>
        </w:rPr>
        <w:t>领导小组办公室对</w:t>
      </w:r>
      <w:r w:rsidRPr="0054099E">
        <w:rPr>
          <w:rFonts w:ascii="Times New Roman"/>
          <w:bCs/>
          <w:szCs w:val="32"/>
        </w:rPr>
        <w:lastRenderedPageBreak/>
        <w:t>各高校自评报告进行稽核并出具考核结果。各高校考核结果经</w:t>
      </w:r>
      <w:r w:rsidRPr="0054099E">
        <w:rPr>
          <w:rFonts w:ascii="Times New Roman"/>
          <w:szCs w:val="32"/>
        </w:rPr>
        <w:t>省教育厅、财政厅审核</w:t>
      </w:r>
      <w:r w:rsidRPr="0054099E">
        <w:rPr>
          <w:rFonts w:ascii="Times New Roman"/>
          <w:bCs/>
          <w:szCs w:val="32"/>
        </w:rPr>
        <w:t>并予以公示</w:t>
      </w:r>
      <w:r w:rsidRPr="0054099E">
        <w:rPr>
          <w:rFonts w:ascii="Times New Roman" w:hint="eastAsia"/>
          <w:bCs/>
          <w:szCs w:val="32"/>
        </w:rPr>
        <w:t>、公布</w:t>
      </w:r>
      <w:r w:rsidRPr="0054099E">
        <w:rPr>
          <w:rFonts w:ascii="Times New Roman"/>
          <w:bCs/>
          <w:szCs w:val="32"/>
        </w:rPr>
        <w:t>。</w:t>
      </w:r>
    </w:p>
    <w:p w:rsidR="0079797A" w:rsidRPr="0054099E" w:rsidRDefault="0079797A" w:rsidP="0079797A">
      <w:pPr>
        <w:spacing w:line="560" w:lineRule="exact"/>
        <w:ind w:rightChars="-51" w:right="-163"/>
        <w:rPr>
          <w:rFonts w:ascii="Times New Roman"/>
          <w:bCs/>
          <w:szCs w:val="32"/>
        </w:rPr>
      </w:pPr>
      <w:r w:rsidRPr="0054099E">
        <w:rPr>
          <w:rFonts w:ascii="Times New Roman"/>
          <w:bCs/>
          <w:szCs w:val="32"/>
        </w:rPr>
        <w:t xml:space="preserve">    4</w:t>
      </w:r>
      <w:r w:rsidRPr="0054099E">
        <w:rPr>
          <w:rFonts w:ascii="Times New Roman"/>
          <w:bCs/>
          <w:szCs w:val="32"/>
        </w:rPr>
        <w:t>．省财政厅、省教育厅根据各高校考核结果，</w:t>
      </w:r>
      <w:r w:rsidRPr="0054099E">
        <w:rPr>
          <w:rFonts w:ascii="Times New Roman"/>
          <w:szCs w:val="32"/>
        </w:rPr>
        <w:t>综合修正因素等，确定各高校</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年度奖补资金预算。</w:t>
      </w:r>
    </w:p>
    <w:p w:rsidR="0079797A" w:rsidRPr="0054099E" w:rsidRDefault="0079797A" w:rsidP="0079797A">
      <w:pPr>
        <w:spacing w:line="560" w:lineRule="exact"/>
        <w:ind w:rightChars="-51" w:right="-163"/>
        <w:rPr>
          <w:rFonts w:ascii="Times New Roman"/>
          <w:bCs/>
          <w:szCs w:val="32"/>
        </w:rPr>
      </w:pPr>
    </w:p>
    <w:p w:rsidR="0079797A" w:rsidRPr="0054099E" w:rsidRDefault="0079797A" w:rsidP="0079797A">
      <w:pPr>
        <w:spacing w:line="560" w:lineRule="exact"/>
        <w:ind w:rightChars="-51" w:right="-163" w:firstLine="645"/>
        <w:rPr>
          <w:rFonts w:ascii="Times New Roman"/>
          <w:bCs/>
          <w:szCs w:val="32"/>
        </w:rPr>
      </w:pPr>
      <w:r w:rsidRPr="0054099E">
        <w:rPr>
          <w:rFonts w:ascii="Times New Roman"/>
          <w:bCs/>
          <w:szCs w:val="32"/>
        </w:rPr>
        <w:t>附件：</w:t>
      </w:r>
      <w:r w:rsidR="00691F84">
        <w:rPr>
          <w:rFonts w:ascii="Times New Roman" w:hint="eastAsia"/>
          <w:szCs w:val="32"/>
        </w:rPr>
        <w:t>“十三五”</w:t>
      </w:r>
      <w:r w:rsidRPr="0054099E">
        <w:rPr>
          <w:rFonts w:ascii="Times New Roman"/>
          <w:szCs w:val="32"/>
        </w:rPr>
        <w:t>高等教育</w:t>
      </w:r>
      <w:r w:rsidRPr="0054099E">
        <w:rPr>
          <w:rFonts w:ascii="Times New Roman"/>
          <w:szCs w:val="32"/>
        </w:rPr>
        <w:t>“</w:t>
      </w:r>
      <w:r w:rsidRPr="0054099E">
        <w:rPr>
          <w:rFonts w:ascii="Times New Roman"/>
          <w:szCs w:val="32"/>
        </w:rPr>
        <w:t>创新强校工程</w:t>
      </w:r>
      <w:r w:rsidRPr="0054099E">
        <w:rPr>
          <w:rFonts w:ascii="Times New Roman"/>
          <w:szCs w:val="32"/>
        </w:rPr>
        <w:t>”</w:t>
      </w:r>
      <w:r w:rsidRPr="0054099E">
        <w:rPr>
          <w:rFonts w:ascii="Times New Roman"/>
          <w:szCs w:val="32"/>
        </w:rPr>
        <w:t>考核</w:t>
      </w:r>
      <w:r w:rsidRPr="0054099E">
        <w:rPr>
          <w:rFonts w:ascii="Times New Roman"/>
          <w:bCs/>
          <w:szCs w:val="32"/>
        </w:rPr>
        <w:t>指标及评分办法</w:t>
      </w:r>
    </w:p>
    <w:p w:rsidR="00E073F5" w:rsidRDefault="00E073F5"/>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691F84" w:rsidRDefault="00691F84"/>
    <w:p w:rsidR="00F20D2B" w:rsidRDefault="00F20D2B" w:rsidP="00691F84">
      <w:pPr>
        <w:jc w:val="left"/>
        <w:rPr>
          <w:rFonts w:ascii="仿宋" w:eastAsia="仿宋" w:hAnsi="仿宋"/>
          <w:szCs w:val="32"/>
        </w:rPr>
      </w:pPr>
    </w:p>
    <w:p w:rsidR="00F20D2B" w:rsidRDefault="00F20D2B" w:rsidP="00691F84">
      <w:pPr>
        <w:jc w:val="left"/>
        <w:rPr>
          <w:rFonts w:ascii="仿宋" w:eastAsia="仿宋" w:hAnsi="仿宋"/>
          <w:szCs w:val="32"/>
        </w:rPr>
      </w:pPr>
    </w:p>
    <w:p w:rsidR="00691F84" w:rsidRPr="00CD04EA" w:rsidRDefault="00691F84" w:rsidP="00691F84">
      <w:pPr>
        <w:jc w:val="left"/>
        <w:rPr>
          <w:rFonts w:ascii="仿宋" w:eastAsia="仿宋" w:hAnsi="仿宋"/>
          <w:szCs w:val="32"/>
        </w:rPr>
      </w:pPr>
      <w:r w:rsidRPr="00CD04EA">
        <w:rPr>
          <w:rFonts w:ascii="仿宋" w:eastAsia="仿宋" w:hAnsi="仿宋" w:hint="eastAsia"/>
          <w:szCs w:val="32"/>
        </w:rPr>
        <w:t>附件：</w:t>
      </w:r>
    </w:p>
    <w:p w:rsidR="00691F84" w:rsidRPr="00CE39C8" w:rsidRDefault="00691F84" w:rsidP="00691F84">
      <w:pPr>
        <w:jc w:val="center"/>
        <w:rPr>
          <w:rFonts w:asciiTheme="majorEastAsia" w:eastAsiaTheme="majorEastAsia" w:hAnsiTheme="majorEastAsia"/>
          <w:sz w:val="44"/>
          <w:szCs w:val="44"/>
        </w:rPr>
      </w:pPr>
      <w:r w:rsidRPr="00CE39C8">
        <w:rPr>
          <w:rFonts w:asciiTheme="majorEastAsia" w:eastAsiaTheme="majorEastAsia" w:hAnsiTheme="majorEastAsia" w:hint="eastAsia"/>
          <w:sz w:val="44"/>
          <w:szCs w:val="44"/>
        </w:rPr>
        <w:t>“十三五”高等教育“创新强校工程</w:t>
      </w:r>
      <w:r w:rsidRPr="00CE39C8">
        <w:rPr>
          <w:rFonts w:asciiTheme="majorEastAsia" w:eastAsiaTheme="majorEastAsia" w:hAnsiTheme="majorEastAsia"/>
          <w:sz w:val="44"/>
          <w:szCs w:val="44"/>
        </w:rPr>
        <w:t>”</w:t>
      </w:r>
    </w:p>
    <w:p w:rsidR="00691F84" w:rsidRPr="00CE39C8" w:rsidRDefault="00691F84" w:rsidP="00691F84">
      <w:pPr>
        <w:jc w:val="center"/>
        <w:rPr>
          <w:rFonts w:asciiTheme="majorEastAsia" w:eastAsiaTheme="majorEastAsia" w:hAnsiTheme="majorEastAsia"/>
          <w:sz w:val="44"/>
          <w:szCs w:val="44"/>
        </w:rPr>
      </w:pPr>
      <w:r w:rsidRPr="00CE39C8">
        <w:rPr>
          <w:rFonts w:asciiTheme="majorEastAsia" w:eastAsiaTheme="majorEastAsia" w:hAnsiTheme="majorEastAsia" w:hint="eastAsia"/>
          <w:sz w:val="44"/>
          <w:szCs w:val="44"/>
        </w:rPr>
        <w:t>考核指标及评分办法</w:t>
      </w:r>
    </w:p>
    <w:p w:rsidR="00691F84" w:rsidRDefault="00691F84" w:rsidP="00691F84">
      <w:pPr>
        <w:rPr>
          <w:rFonts w:ascii="黑体" w:eastAsia="黑体" w:hAnsi="黑体"/>
          <w:szCs w:val="32"/>
        </w:rPr>
      </w:pPr>
      <w:r>
        <w:rPr>
          <w:rFonts w:ascii="黑体" w:eastAsia="黑体" w:hAnsi="黑体" w:hint="eastAsia"/>
          <w:szCs w:val="32"/>
        </w:rPr>
        <w:t xml:space="preserve">   </w:t>
      </w:r>
    </w:p>
    <w:p w:rsidR="00691F84" w:rsidRPr="00CB03F0" w:rsidRDefault="00691F84" w:rsidP="00691F84">
      <w:pPr>
        <w:rPr>
          <w:rFonts w:ascii="黑体" w:eastAsia="黑体" w:hAnsi="黑体"/>
          <w:szCs w:val="32"/>
        </w:rPr>
      </w:pPr>
      <w:r>
        <w:rPr>
          <w:rFonts w:ascii="黑体" w:eastAsia="黑体" w:hAnsi="黑体" w:hint="eastAsia"/>
          <w:szCs w:val="32"/>
        </w:rPr>
        <w:t xml:space="preserve"> </w:t>
      </w:r>
      <w:r w:rsidRPr="00CB03F0">
        <w:rPr>
          <w:rFonts w:ascii="黑体" w:eastAsia="黑体" w:hAnsi="黑体" w:hint="eastAsia"/>
          <w:szCs w:val="32"/>
        </w:rPr>
        <w:t>一、指标体系</w:t>
      </w:r>
    </w:p>
    <w:p w:rsidR="00691F84" w:rsidRDefault="00691F84" w:rsidP="00691F84">
      <w:pPr>
        <w:ind w:firstLine="720"/>
        <w:rPr>
          <w:rFonts w:ascii="仿宋" w:eastAsia="仿宋" w:hAnsi="仿宋"/>
          <w:szCs w:val="32"/>
        </w:rPr>
      </w:pPr>
      <w:r w:rsidRPr="00CB03F0">
        <w:rPr>
          <w:rFonts w:ascii="仿宋" w:eastAsia="仿宋" w:hAnsi="仿宋" w:hint="eastAsia"/>
          <w:b/>
          <w:szCs w:val="32"/>
        </w:rPr>
        <w:t>1</w:t>
      </w:r>
      <w:r w:rsidRPr="00CB03F0">
        <w:rPr>
          <w:rFonts w:ascii="仿宋" w:eastAsia="仿宋" w:hAnsi="仿宋"/>
          <w:b/>
          <w:szCs w:val="32"/>
        </w:rPr>
        <w:t>.</w:t>
      </w:r>
      <w:r w:rsidRPr="00CB03F0">
        <w:rPr>
          <w:rFonts w:ascii="仿宋" w:eastAsia="仿宋" w:hAnsi="仿宋" w:hint="eastAsia"/>
          <w:b/>
          <w:szCs w:val="32"/>
        </w:rPr>
        <w:t>高水平大学重点项目建设高校。</w:t>
      </w:r>
      <w:r w:rsidRPr="00CB03F0">
        <w:rPr>
          <w:rFonts w:ascii="仿宋" w:eastAsia="仿宋" w:hAnsi="仿宋" w:hint="eastAsia"/>
          <w:szCs w:val="32"/>
        </w:rPr>
        <w:t>本指标体系</w:t>
      </w:r>
      <w:r w:rsidR="00842819">
        <w:rPr>
          <w:rFonts w:ascii="仿宋" w:eastAsia="仿宋" w:hAnsi="仿宋" w:hint="eastAsia"/>
          <w:szCs w:val="32"/>
        </w:rPr>
        <w:t>设</w:t>
      </w:r>
      <w:r w:rsidRPr="00CB03F0">
        <w:rPr>
          <w:rFonts w:ascii="仿宋" w:eastAsia="仿宋" w:hAnsi="仿宋" w:hint="eastAsia"/>
          <w:szCs w:val="32"/>
        </w:rPr>
        <w:t>6个一级指标、21</w:t>
      </w:r>
      <w:r w:rsidR="00842819">
        <w:rPr>
          <w:rFonts w:ascii="仿宋" w:eastAsia="仿宋" w:hAnsi="仿宋" w:hint="eastAsia"/>
          <w:szCs w:val="32"/>
        </w:rPr>
        <w:t>个二级指标，</w:t>
      </w:r>
      <w:r w:rsidR="00DA73BA">
        <w:rPr>
          <w:rFonts w:ascii="仿宋" w:eastAsia="仿宋" w:hAnsi="仿宋" w:hint="eastAsia"/>
          <w:szCs w:val="32"/>
        </w:rPr>
        <w:t>1</w:t>
      </w:r>
      <w:r w:rsidR="00E40414">
        <w:rPr>
          <w:rFonts w:ascii="仿宋" w:eastAsia="仿宋" w:hAnsi="仿宋" w:hint="eastAsia"/>
          <w:szCs w:val="32"/>
        </w:rPr>
        <w:t>9</w:t>
      </w:r>
      <w:r w:rsidR="00DA73BA">
        <w:rPr>
          <w:rFonts w:ascii="仿宋" w:eastAsia="仿宋" w:hAnsi="仿宋" w:hint="eastAsia"/>
          <w:szCs w:val="32"/>
        </w:rPr>
        <w:t>个</w:t>
      </w:r>
      <w:r w:rsidR="00842819">
        <w:rPr>
          <w:rFonts w:ascii="仿宋" w:eastAsia="仿宋" w:hAnsi="仿宋" w:hint="eastAsia"/>
          <w:szCs w:val="32"/>
        </w:rPr>
        <w:t>核心</w:t>
      </w:r>
      <w:r w:rsidR="00E40414">
        <w:rPr>
          <w:rFonts w:ascii="仿宋" w:eastAsia="仿宋" w:hAnsi="仿宋" w:hint="eastAsia"/>
          <w:szCs w:val="32"/>
        </w:rPr>
        <w:t>三级</w:t>
      </w:r>
      <w:r w:rsidR="00842819">
        <w:rPr>
          <w:rFonts w:ascii="仿宋" w:eastAsia="仿宋" w:hAnsi="仿宋" w:hint="eastAsia"/>
          <w:szCs w:val="32"/>
        </w:rPr>
        <w:t>指标</w:t>
      </w:r>
      <w:r w:rsidR="00E40414">
        <w:rPr>
          <w:rFonts w:ascii="仿宋" w:eastAsia="仿宋" w:hAnsi="仿宋" w:hint="eastAsia"/>
          <w:szCs w:val="32"/>
        </w:rPr>
        <w:t>(用</w:t>
      </w:r>
      <w:r w:rsidR="00E40414" w:rsidRPr="00DA73BA">
        <w:rPr>
          <w:rFonts w:ascii="仿宋" w:eastAsia="仿宋" w:hAnsi="仿宋" w:hint="eastAsia"/>
          <w:szCs w:val="32"/>
        </w:rPr>
        <w:t>★</w:t>
      </w:r>
      <w:r w:rsidR="00E40414" w:rsidRPr="00E40414">
        <w:rPr>
          <w:rFonts w:ascii="仿宋" w:eastAsia="仿宋" w:hAnsi="仿宋" w:hint="eastAsia"/>
          <w:szCs w:val="32"/>
        </w:rPr>
        <w:t>标识)</w:t>
      </w:r>
      <w:r w:rsidR="00842819">
        <w:rPr>
          <w:rFonts w:ascii="仿宋" w:eastAsia="仿宋" w:hAnsi="仿宋" w:hint="eastAsia"/>
          <w:szCs w:val="32"/>
        </w:rPr>
        <w:t>。</w:t>
      </w:r>
      <w:r w:rsidRPr="00CB03F0">
        <w:rPr>
          <w:rFonts w:ascii="仿宋" w:eastAsia="仿宋" w:hAnsi="仿宋" w:hint="eastAsia"/>
          <w:szCs w:val="32"/>
        </w:rPr>
        <w:t>具体指标如下：</w:t>
      </w:r>
    </w:p>
    <w:tbl>
      <w:tblPr>
        <w:tblW w:w="9060" w:type="dxa"/>
        <w:jc w:val="center"/>
        <w:tblLook w:val="04A0" w:firstRow="1" w:lastRow="0" w:firstColumn="1" w:lastColumn="0" w:noHBand="0" w:noVBand="1"/>
      </w:tblPr>
      <w:tblGrid>
        <w:gridCol w:w="1120"/>
        <w:gridCol w:w="900"/>
        <w:gridCol w:w="1680"/>
        <w:gridCol w:w="880"/>
        <w:gridCol w:w="3620"/>
        <w:gridCol w:w="860"/>
      </w:tblGrid>
      <w:tr w:rsidR="00DA73BA" w:rsidRPr="00DA73BA" w:rsidTr="00DA73BA">
        <w:trPr>
          <w:trHeight w:val="408"/>
          <w:tblHeader/>
          <w:jc w:val="center"/>
        </w:trPr>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一级指标</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满分值</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二级指标</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满分值</w:t>
            </w:r>
          </w:p>
        </w:tc>
        <w:tc>
          <w:tcPr>
            <w:tcW w:w="3620" w:type="dxa"/>
            <w:tcBorders>
              <w:top w:val="single" w:sz="4" w:space="0" w:color="auto"/>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三级指标</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b/>
                <w:bCs/>
                <w:kern w:val="0"/>
                <w:sz w:val="22"/>
                <w:szCs w:val="22"/>
              </w:rPr>
            </w:pPr>
            <w:r w:rsidRPr="00DA73BA">
              <w:rPr>
                <w:rFonts w:ascii="宋体" w:eastAsia="宋体" w:hAnsi="宋体" w:cs="宋体" w:hint="eastAsia"/>
                <w:b/>
                <w:bCs/>
                <w:kern w:val="0"/>
                <w:sz w:val="22"/>
                <w:szCs w:val="22"/>
              </w:rPr>
              <w:t>满分值</w:t>
            </w:r>
          </w:p>
        </w:tc>
      </w:tr>
      <w:tr w:rsidR="00DA73BA" w:rsidRPr="00DA73BA" w:rsidTr="00DA73BA">
        <w:trPr>
          <w:trHeight w:val="408"/>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1.体制机制改革</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10</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 体制机制改革举措及成效</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10</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★1.1.1 人事管理制度改革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1.1.2 人才培养机制改革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★1.1.3 科研体制机制改革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1.1.4 资源配置机制改革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1.1.5 其它</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2.师资队伍</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15</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2.1队伍规模及结构</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2.1.1生师比</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2.1.2 学历结构</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2.2教师专业发展</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9</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★2.2.1 高层次人才引培</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4</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2.2.2 教师培养</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2.2.3 教师队伍国际化</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 xml:space="preserve">2.3教师管理     </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2.3.1 管理及制度建设</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408"/>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3.人才培养</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27</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3.1教学建设</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5</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3.1.1专业认证</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★3.1.2专业和课程建设</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3.1.3教师教学能力</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3.1.4实践教学</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3.2教学改革</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12</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★3.2.1学分制改革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★3.2.2人才培养模式改革</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6</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3.2.3创新创业教育</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3.2.4教学成果奖</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3.3质量保障体系建设及成效</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4</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★3.3.1教授给本科生上课比例</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3.3.2教学质量保障</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3.3.3学科、技能竞赛</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3.4学位授予质量</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6</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3.4.1研究生生源质量</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★3.4.2研究生学位论文质量</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408"/>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3.4.3专业学位研究生实践培养</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4.学科建设与科学研究</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26</w:t>
            </w: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4.1重点学科培育建设</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★4.1.1 省（部）级重点学科的增量（或层次、级别的提升）</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4.2学位点建设质量及动态调整</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★4.2.1博士、硕士学位授权点评估</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4.2.2 学位点动态调整</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4.3 协同创新平台培育建设</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4</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4.3.1 协同创新平台自主培育</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★4.3.2 协同创新平台认定及建设成效</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4.4 高层次科研创新平台建设</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★4.4.1 现有或新增高层次科研创新平台及建设成效</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4.5 科研诚信与学风建设</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2</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4.5.1 制度建设及学术不端行为</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4.6 科研成果质量及影响力</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8</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★4.6.1 重大科研奖励（成果）</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★4.6.2 ESI论文总被引次数</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4.6.3 高引论文和热点论文数或篇均引用数</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4.7 拨入科研经费数量</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4.7.1 师均科技项目经费、社科项目经费或综合科研项目经费</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w:t>
            </w:r>
          </w:p>
        </w:tc>
      </w:tr>
      <w:tr w:rsidR="00DA73BA" w:rsidRPr="00DA73BA" w:rsidTr="00DA73BA">
        <w:trPr>
          <w:trHeight w:val="67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5.社会服务</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10</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5.1 研究、开发、服务机构建设</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★5.1.1 新型研发机构和新型智库建设</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1.5</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5.1.2 技术转移机构、科研成果转化服务平台及其他产学研合作平台建设</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5.1.3 有关研究、开发、服务机构的运作及产出情况</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0.5</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5.2 知识产权创造</w:t>
            </w:r>
          </w:p>
        </w:tc>
        <w:tc>
          <w:tcPr>
            <w:tcW w:w="88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2</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★5.2.1 发明专利申报授权及专利奖</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5.3 科研服务及成果转化</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5</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5.3.1 横向合作经费</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5.3.2 成果转让经费</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5.3.3 咨政建言或服务中小学教师专业发展（1分）</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5.3.4 科研成果转化应用典型案例</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6.综合管理绩效评价</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12</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6.1资源统筹力度及合理配置</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4.5</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★6.1.1学校统筹力度和支出结构</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2.5</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6.1.2财务管理</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6.2预算执行进度和绩效</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3</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★6.2.1国库集中支付项目支出进度</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2</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rPr>
                <w:rFonts w:ascii="宋体" w:eastAsia="宋体" w:hAnsi="宋体" w:cs="宋体"/>
                <w:kern w:val="0"/>
                <w:sz w:val="22"/>
                <w:szCs w:val="22"/>
              </w:rPr>
            </w:pPr>
            <w:r w:rsidRPr="00DA73BA">
              <w:rPr>
                <w:rFonts w:ascii="宋体" w:eastAsia="宋体" w:hAnsi="宋体" w:cs="宋体" w:hint="eastAsia"/>
                <w:kern w:val="0"/>
                <w:sz w:val="22"/>
                <w:szCs w:val="22"/>
              </w:rPr>
              <w:t>6.2.2绩效评价工作</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6.3高水平大学建设资金管理情况</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DA73BA" w:rsidRPr="00DA73BA" w:rsidRDefault="00DA73BA" w:rsidP="00DA73BA">
            <w:pPr>
              <w:widowControl/>
              <w:jc w:val="center"/>
              <w:rPr>
                <w:rFonts w:ascii="宋体" w:eastAsia="宋体" w:hAnsi="宋体" w:cs="宋体"/>
                <w:kern w:val="0"/>
                <w:sz w:val="22"/>
                <w:szCs w:val="22"/>
              </w:rPr>
            </w:pPr>
            <w:r w:rsidRPr="00DA73BA">
              <w:rPr>
                <w:rFonts w:ascii="宋体" w:eastAsia="宋体" w:hAnsi="宋体" w:cs="宋体" w:hint="eastAsia"/>
                <w:kern w:val="0"/>
                <w:sz w:val="22"/>
                <w:szCs w:val="22"/>
              </w:rPr>
              <w:t>4.5</w:t>
            </w: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rPr>
                <w:rFonts w:ascii="宋体" w:eastAsia="宋体" w:hAnsi="宋体" w:cs="宋体"/>
                <w:kern w:val="0"/>
                <w:sz w:val="22"/>
                <w:szCs w:val="22"/>
              </w:rPr>
            </w:pPr>
            <w:r w:rsidRPr="00DA73BA">
              <w:rPr>
                <w:rFonts w:ascii="宋体" w:eastAsia="宋体" w:hAnsi="宋体" w:cs="宋体" w:hint="eastAsia"/>
                <w:kern w:val="0"/>
                <w:sz w:val="22"/>
                <w:szCs w:val="22"/>
              </w:rPr>
              <w:t>6.3.1高水平大学项目管理</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w:t>
            </w:r>
          </w:p>
        </w:tc>
      </w:tr>
      <w:tr w:rsidR="00DA73BA" w:rsidRPr="00DA73BA" w:rsidTr="00DA73BA">
        <w:trPr>
          <w:trHeight w:val="672"/>
          <w:jc w:val="center"/>
        </w:trPr>
        <w:tc>
          <w:tcPr>
            <w:tcW w:w="112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90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16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DA73BA" w:rsidRPr="00DA73BA" w:rsidRDefault="00DA73BA" w:rsidP="00DA73BA">
            <w:pPr>
              <w:widowControl/>
              <w:jc w:val="left"/>
              <w:rPr>
                <w:rFonts w:ascii="宋体" w:eastAsia="宋体" w:hAnsi="宋体" w:cs="宋体"/>
                <w:kern w:val="0"/>
                <w:sz w:val="22"/>
                <w:szCs w:val="22"/>
              </w:rPr>
            </w:pPr>
          </w:p>
        </w:tc>
        <w:tc>
          <w:tcPr>
            <w:tcW w:w="3620" w:type="dxa"/>
            <w:tcBorders>
              <w:top w:val="nil"/>
              <w:left w:val="nil"/>
              <w:bottom w:val="single" w:sz="4" w:space="0" w:color="auto"/>
              <w:right w:val="single" w:sz="4" w:space="0" w:color="auto"/>
            </w:tcBorders>
            <w:shd w:val="clear" w:color="000000" w:fill="FFFFFF"/>
            <w:vAlign w:val="center"/>
            <w:hideMark/>
          </w:tcPr>
          <w:p w:rsidR="00DA73BA" w:rsidRPr="00DA73BA" w:rsidRDefault="00DA73BA" w:rsidP="00DA73BA">
            <w:pPr>
              <w:widowControl/>
              <w:jc w:val="left"/>
              <w:rPr>
                <w:rFonts w:ascii="宋体" w:eastAsia="宋体" w:hAnsi="宋体" w:cs="宋体"/>
                <w:kern w:val="0"/>
                <w:sz w:val="22"/>
                <w:szCs w:val="22"/>
              </w:rPr>
            </w:pPr>
            <w:r w:rsidRPr="00DA73BA">
              <w:rPr>
                <w:rFonts w:ascii="宋体" w:eastAsia="宋体" w:hAnsi="宋体" w:cs="宋体" w:hint="eastAsia"/>
                <w:kern w:val="0"/>
                <w:sz w:val="22"/>
                <w:szCs w:val="22"/>
              </w:rPr>
              <w:t>★6.3.2高水平大学项目资金安排及预算执行</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3.5</w:t>
            </w:r>
          </w:p>
        </w:tc>
      </w:tr>
      <w:tr w:rsidR="00DA73BA" w:rsidRPr="00DA73BA" w:rsidTr="00DA73BA">
        <w:trPr>
          <w:trHeight w:val="408"/>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DA73BA" w:rsidRPr="00DA73BA" w:rsidRDefault="00DA73BA" w:rsidP="00DA73BA">
            <w:pPr>
              <w:widowControl/>
              <w:jc w:val="left"/>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总计</w:t>
            </w:r>
          </w:p>
        </w:tc>
        <w:tc>
          <w:tcPr>
            <w:tcW w:w="90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100</w:t>
            </w:r>
          </w:p>
        </w:tc>
        <w:tc>
          <w:tcPr>
            <w:tcW w:w="168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left"/>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100</w:t>
            </w:r>
          </w:p>
        </w:tc>
        <w:tc>
          <w:tcPr>
            <w:tcW w:w="362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left"/>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DA73BA" w:rsidRPr="00DA73BA" w:rsidRDefault="00DA73BA" w:rsidP="00DA73BA">
            <w:pPr>
              <w:widowControl/>
              <w:jc w:val="center"/>
              <w:rPr>
                <w:rFonts w:ascii="宋体" w:eastAsia="宋体" w:hAnsi="宋体" w:cs="宋体"/>
                <w:color w:val="000000"/>
                <w:kern w:val="0"/>
                <w:sz w:val="22"/>
                <w:szCs w:val="22"/>
              </w:rPr>
            </w:pPr>
            <w:r w:rsidRPr="00DA73BA">
              <w:rPr>
                <w:rFonts w:ascii="宋体" w:eastAsia="宋体" w:hAnsi="宋体" w:cs="宋体" w:hint="eastAsia"/>
                <w:color w:val="000000"/>
                <w:kern w:val="0"/>
                <w:sz w:val="22"/>
                <w:szCs w:val="22"/>
              </w:rPr>
              <w:t>100</w:t>
            </w:r>
          </w:p>
        </w:tc>
      </w:tr>
    </w:tbl>
    <w:p w:rsidR="00DA73BA" w:rsidRDefault="00DA73BA" w:rsidP="00691F84">
      <w:pPr>
        <w:ind w:firstLine="720"/>
        <w:rPr>
          <w:rFonts w:ascii="仿宋" w:eastAsia="仿宋" w:hAnsi="仿宋"/>
          <w:szCs w:val="32"/>
        </w:rPr>
      </w:pPr>
    </w:p>
    <w:p w:rsidR="00F20D2B" w:rsidRDefault="00F20D2B" w:rsidP="000B46E0">
      <w:pPr>
        <w:ind w:firstLine="720"/>
        <w:jc w:val="center"/>
        <w:rPr>
          <w:rFonts w:ascii="仿宋" w:eastAsia="仿宋" w:hAnsi="仿宋"/>
          <w:szCs w:val="32"/>
        </w:rPr>
      </w:pPr>
    </w:p>
    <w:p w:rsidR="00422581" w:rsidRDefault="00422581" w:rsidP="00691F84">
      <w:pPr>
        <w:ind w:firstLine="720"/>
        <w:rPr>
          <w:rFonts w:ascii="仿宋" w:eastAsia="仿宋" w:hAnsi="仿宋"/>
          <w:szCs w:val="32"/>
        </w:rPr>
      </w:pPr>
    </w:p>
    <w:p w:rsidR="00F043B0" w:rsidRDefault="00F043B0" w:rsidP="00691F84">
      <w:pPr>
        <w:ind w:firstLine="720"/>
        <w:rPr>
          <w:rFonts w:ascii="仿宋" w:eastAsia="仿宋" w:hAnsi="仿宋"/>
          <w:szCs w:val="32"/>
        </w:rPr>
        <w:sectPr w:rsidR="00F043B0">
          <w:footerReference w:type="default" r:id="rId6"/>
          <w:pgSz w:w="11906" w:h="16838"/>
          <w:pgMar w:top="1440" w:right="1800" w:bottom="1440" w:left="1800" w:header="851" w:footer="992" w:gutter="0"/>
          <w:cols w:space="425"/>
          <w:docGrid w:type="lines" w:linePitch="312"/>
        </w:sectPr>
      </w:pPr>
    </w:p>
    <w:p w:rsidR="00691F84" w:rsidRDefault="00691F84" w:rsidP="00691F84">
      <w:pPr>
        <w:ind w:firstLine="720"/>
        <w:rPr>
          <w:rFonts w:ascii="仿宋" w:eastAsia="仿宋" w:hAnsi="仿宋"/>
          <w:szCs w:val="32"/>
        </w:rPr>
      </w:pPr>
      <w:r w:rsidRPr="00F043B0">
        <w:rPr>
          <w:rFonts w:ascii="仿宋" w:eastAsia="仿宋" w:hAnsi="仿宋" w:hint="eastAsia"/>
          <w:b/>
          <w:szCs w:val="32"/>
        </w:rPr>
        <w:lastRenderedPageBreak/>
        <w:t>2.</w:t>
      </w:r>
      <w:r w:rsidR="000B46E0">
        <w:rPr>
          <w:rFonts w:ascii="仿宋" w:eastAsia="仿宋" w:hAnsi="仿宋" w:hint="eastAsia"/>
          <w:b/>
          <w:szCs w:val="32"/>
        </w:rPr>
        <w:t>应用型硕士授权</w:t>
      </w:r>
      <w:r w:rsidRPr="006B6EA1">
        <w:rPr>
          <w:rFonts w:ascii="仿宋" w:eastAsia="仿宋" w:hAnsi="仿宋" w:hint="eastAsia"/>
          <w:b/>
          <w:szCs w:val="32"/>
        </w:rPr>
        <w:t>高校</w:t>
      </w:r>
      <w:r>
        <w:rPr>
          <w:rFonts w:ascii="仿宋" w:eastAsia="仿宋" w:hAnsi="仿宋" w:hint="eastAsia"/>
          <w:szCs w:val="32"/>
        </w:rPr>
        <w:t>。本指标体系</w:t>
      </w:r>
      <w:r w:rsidR="00842819">
        <w:rPr>
          <w:rFonts w:ascii="仿宋" w:eastAsia="仿宋" w:hAnsi="仿宋" w:hint="eastAsia"/>
          <w:szCs w:val="32"/>
        </w:rPr>
        <w:t>设</w:t>
      </w:r>
      <w:r>
        <w:rPr>
          <w:rFonts w:ascii="仿宋" w:eastAsia="仿宋" w:hAnsi="仿宋" w:hint="eastAsia"/>
          <w:szCs w:val="32"/>
        </w:rPr>
        <w:t>6个一级指标、2</w:t>
      </w:r>
      <w:r w:rsidR="00E40414">
        <w:rPr>
          <w:rFonts w:ascii="仿宋" w:eastAsia="仿宋" w:hAnsi="仿宋" w:hint="eastAsia"/>
          <w:szCs w:val="32"/>
        </w:rPr>
        <w:t>3</w:t>
      </w:r>
      <w:r>
        <w:rPr>
          <w:rFonts w:ascii="仿宋" w:eastAsia="仿宋" w:hAnsi="仿宋" w:hint="eastAsia"/>
          <w:szCs w:val="32"/>
        </w:rPr>
        <w:t>个二级指标</w:t>
      </w:r>
      <w:r w:rsidR="00842819">
        <w:rPr>
          <w:rFonts w:ascii="仿宋" w:eastAsia="仿宋" w:hAnsi="仿宋" w:hint="eastAsia"/>
          <w:szCs w:val="32"/>
        </w:rPr>
        <w:t>，20个核心三级指标</w:t>
      </w:r>
      <w:r w:rsidR="00E40414">
        <w:rPr>
          <w:rFonts w:ascii="仿宋" w:eastAsia="仿宋" w:hAnsi="仿宋" w:hint="eastAsia"/>
          <w:szCs w:val="32"/>
        </w:rPr>
        <w:t>(用</w:t>
      </w:r>
      <w:r w:rsidR="00E40414" w:rsidRPr="00DA73BA">
        <w:rPr>
          <w:rFonts w:ascii="仿宋" w:eastAsia="仿宋" w:hAnsi="仿宋" w:hint="eastAsia"/>
          <w:szCs w:val="32"/>
        </w:rPr>
        <w:t>★</w:t>
      </w:r>
      <w:r w:rsidR="00E40414" w:rsidRPr="00E40414">
        <w:rPr>
          <w:rFonts w:ascii="仿宋" w:eastAsia="仿宋" w:hAnsi="仿宋" w:hint="eastAsia"/>
          <w:szCs w:val="32"/>
        </w:rPr>
        <w:t>标识)</w:t>
      </w:r>
      <w:r>
        <w:rPr>
          <w:rFonts w:ascii="仿宋" w:eastAsia="仿宋" w:hAnsi="仿宋" w:hint="eastAsia"/>
          <w:szCs w:val="32"/>
        </w:rPr>
        <w:t>。具体指标如下：</w:t>
      </w:r>
    </w:p>
    <w:tbl>
      <w:tblPr>
        <w:tblW w:w="9200" w:type="dxa"/>
        <w:jc w:val="center"/>
        <w:tblLook w:val="04A0" w:firstRow="1" w:lastRow="0" w:firstColumn="1" w:lastColumn="0" w:noHBand="0" w:noVBand="1"/>
      </w:tblPr>
      <w:tblGrid>
        <w:gridCol w:w="1280"/>
        <w:gridCol w:w="880"/>
        <w:gridCol w:w="1980"/>
        <w:gridCol w:w="960"/>
        <w:gridCol w:w="3140"/>
        <w:gridCol w:w="960"/>
      </w:tblGrid>
      <w:tr w:rsidR="00E40414" w:rsidRPr="00E40414" w:rsidTr="00E40414">
        <w:trPr>
          <w:trHeight w:val="588"/>
          <w:tblHeader/>
          <w:jc w:val="center"/>
        </w:trPr>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一级指标</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满分值</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二级指标</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满分值</w:t>
            </w:r>
          </w:p>
        </w:tc>
        <w:tc>
          <w:tcPr>
            <w:tcW w:w="3140" w:type="dxa"/>
            <w:tcBorders>
              <w:top w:val="single" w:sz="4" w:space="0" w:color="auto"/>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三级指标</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b/>
                <w:bCs/>
                <w:kern w:val="0"/>
                <w:sz w:val="22"/>
                <w:szCs w:val="22"/>
              </w:rPr>
            </w:pPr>
            <w:r w:rsidRPr="00E40414">
              <w:rPr>
                <w:rFonts w:ascii="宋体" w:eastAsia="宋体" w:hAnsi="宋体" w:cs="宋体" w:hint="eastAsia"/>
                <w:b/>
                <w:bCs/>
                <w:kern w:val="0"/>
                <w:sz w:val="22"/>
                <w:szCs w:val="22"/>
              </w:rPr>
              <w:t>满分值</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1.体制机制改革</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10</w:t>
            </w: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 体制机制改革举措及成效</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10</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★1.1.1 人事管理制度改革</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1.1.2 人才培养机制改革</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★1.1.3 科研体制机制改革</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1.1.4 资源配置机制改革</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1.1.5 其它</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2.师资队伍</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20</w:t>
            </w: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2.1队伍规模及结构</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2.1.1生师比</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2.1.2 学历结构</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2.2教师专业发展</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14</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★2.2.1 高层次人才引培</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4</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★2.2.2 教师培养</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4</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2.2.3 双师双能教师引育</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4</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2.2.4教师队伍国际化</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2.3教师管理</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★2.3.1 管理及制度建设</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3.人才培养</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34</w:t>
            </w: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3.1专业和课程建设</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5</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3.1.1专业认证</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★3.1.2优质专业和课程建设</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3.1.3校企共建课程</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3.2教师教学能力</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★3.2.1教师到企业实践情况</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3.2.2教师教学能力提升</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3.3实践教学</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6</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★3.3.1实践（实训）教学学分（学时）数占比</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3.3.2校内外实验（实践）教学平台建设</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3.3.3创新创业教育</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3.4人才培养模式改革及成效</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9</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3.4.1学分制改革</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★3.4.2校企协同育人</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3.4.3信息化建设及国际交流与合作(2分)</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3.4.4教学成果奖</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3.5质量保障体系建设及成效</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6</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★3.5.1教学评估</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3.5.2学科、技能竞赛</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3.5.3毕业设计（论文）选题</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3.4学位授予质量</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5</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3.4.1研究生生源质量</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★3.4.2研究生学位论文质量</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3.4.3专业学位研究生实践培养</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4.学科建设与科学研究</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16</w:t>
            </w: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4.1重点学科培育建设</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2</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★4.1.1 省级重点学科的增量（或层次提升）</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4.2学位点建设质量及动态调整</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4.2.1硕士学位授权点合格评估</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4.3 协同创新平台培育建设</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4.3.1 协同创新平台自主培育</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★4.3.2 协同创新平台认定及建设成效</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4.4 高层次科研创新平台建设</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★4.4.1 现有或新增高层次科研创新平台及建设成效</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4.5 科研诚信与学风建设</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4.5.1 制度建设及学术不端行为</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4.6 科研成果质量及影响力</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4</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★4.6.1 重大科研奖励（成果）</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4.6.2 师均高水平论文数（本科高校）</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696"/>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4.7 拨入科研经费数量</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2</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4.7.1 师均科技项目经费、社科项目经费或综合科研项目经费</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5.社会服务</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8</w:t>
            </w: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5.1 研究、开发、服务机构建设</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★5.1.1 新型研发机构和新型智库建设</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94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5.1.2 技术转移机构、科研成果转化服务平台及其他产学研合作平台建设</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744"/>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5.1.3 有关研究、开发、服务机构的运作及产出情况</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5.2 知识产权创造</w:t>
            </w:r>
          </w:p>
        </w:tc>
        <w:tc>
          <w:tcPr>
            <w:tcW w:w="96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5.2.1 发明专利申报授权及专利奖</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5.3 科研服务及成果转化</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4</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★5.3.1 横向合作经费）</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5.3.2 成果转让经费</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5.3.3 咨政建言或服务中小学教师专业发展</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5.3.4 科研成果转化应用典型案例</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6.综合管理绩效评价</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12</w:t>
            </w: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6.1资源统筹力度及合理配置</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4.5</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★6.1.1学校统筹力度和支出结构</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2.5</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6.1.2财务管理</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6.2预算执行进度和绩效</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3</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★6.2.1国库集中支付项目支出进度</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2</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6.2.2绩效评价工作</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6.3“创新强校工程”建设资金管理情况</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0414" w:rsidRPr="00E40414" w:rsidRDefault="00E40414" w:rsidP="00E40414">
            <w:pPr>
              <w:widowControl/>
              <w:jc w:val="center"/>
              <w:rPr>
                <w:rFonts w:ascii="宋体" w:eastAsia="宋体" w:hAnsi="宋体" w:cs="宋体"/>
                <w:kern w:val="0"/>
                <w:sz w:val="22"/>
                <w:szCs w:val="22"/>
              </w:rPr>
            </w:pPr>
            <w:r w:rsidRPr="00E40414">
              <w:rPr>
                <w:rFonts w:ascii="宋体" w:eastAsia="宋体" w:hAnsi="宋体" w:cs="宋体" w:hint="eastAsia"/>
                <w:kern w:val="0"/>
                <w:sz w:val="22"/>
                <w:szCs w:val="22"/>
              </w:rPr>
              <w:t>4.5</w:t>
            </w: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6.3.1“创新强校工程”项目管理</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w:t>
            </w:r>
          </w:p>
        </w:tc>
      </w:tr>
      <w:tr w:rsidR="00E40414" w:rsidRPr="00E40414" w:rsidTr="00E40414">
        <w:trPr>
          <w:trHeight w:val="588"/>
          <w:jc w:val="center"/>
        </w:trPr>
        <w:tc>
          <w:tcPr>
            <w:tcW w:w="12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8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198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960" w:type="dxa"/>
            <w:vMerge/>
            <w:tcBorders>
              <w:top w:val="nil"/>
              <w:left w:val="single" w:sz="4" w:space="0" w:color="auto"/>
              <w:bottom w:val="single" w:sz="4" w:space="0" w:color="auto"/>
              <w:right w:val="single" w:sz="4" w:space="0" w:color="auto"/>
            </w:tcBorders>
            <w:vAlign w:val="center"/>
            <w:hideMark/>
          </w:tcPr>
          <w:p w:rsidR="00E40414" w:rsidRPr="00E40414" w:rsidRDefault="00E40414" w:rsidP="00E40414">
            <w:pPr>
              <w:widowControl/>
              <w:jc w:val="left"/>
              <w:rPr>
                <w:rFonts w:ascii="宋体" w:eastAsia="宋体" w:hAnsi="宋体" w:cs="宋体"/>
                <w:kern w:val="0"/>
                <w:sz w:val="22"/>
                <w:szCs w:val="22"/>
              </w:rPr>
            </w:pPr>
          </w:p>
        </w:tc>
        <w:tc>
          <w:tcPr>
            <w:tcW w:w="3140" w:type="dxa"/>
            <w:tcBorders>
              <w:top w:val="nil"/>
              <w:left w:val="nil"/>
              <w:bottom w:val="single" w:sz="4" w:space="0" w:color="auto"/>
              <w:right w:val="single" w:sz="4" w:space="0" w:color="auto"/>
            </w:tcBorders>
            <w:shd w:val="clear" w:color="000000" w:fill="FFFFFF"/>
            <w:vAlign w:val="center"/>
            <w:hideMark/>
          </w:tcPr>
          <w:p w:rsidR="00E40414" w:rsidRPr="00E40414" w:rsidRDefault="00E40414" w:rsidP="00E40414">
            <w:pPr>
              <w:widowControl/>
              <w:jc w:val="left"/>
              <w:rPr>
                <w:rFonts w:ascii="宋体" w:eastAsia="宋体" w:hAnsi="宋体" w:cs="宋体"/>
                <w:kern w:val="0"/>
                <w:sz w:val="22"/>
                <w:szCs w:val="22"/>
              </w:rPr>
            </w:pPr>
            <w:r w:rsidRPr="00E40414">
              <w:rPr>
                <w:rFonts w:ascii="宋体" w:eastAsia="宋体" w:hAnsi="宋体" w:cs="宋体" w:hint="eastAsia"/>
                <w:kern w:val="0"/>
                <w:sz w:val="22"/>
                <w:szCs w:val="22"/>
              </w:rPr>
              <w:t>★6.3.2“创新强校工程”项目资金安排及预算执行</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3.5</w:t>
            </w:r>
          </w:p>
        </w:tc>
      </w:tr>
      <w:tr w:rsidR="00E40414" w:rsidRPr="00E40414" w:rsidTr="00E40414">
        <w:trPr>
          <w:trHeight w:val="588"/>
          <w:jc w:val="center"/>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总计</w:t>
            </w:r>
          </w:p>
        </w:tc>
        <w:tc>
          <w:tcPr>
            <w:tcW w:w="88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100</w:t>
            </w:r>
          </w:p>
        </w:tc>
        <w:tc>
          <w:tcPr>
            <w:tcW w:w="198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100</w:t>
            </w:r>
          </w:p>
        </w:tc>
        <w:tc>
          <w:tcPr>
            <w:tcW w:w="314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rsidR="00E40414" w:rsidRPr="00E40414" w:rsidRDefault="00E40414" w:rsidP="00E40414">
            <w:pPr>
              <w:widowControl/>
              <w:jc w:val="center"/>
              <w:rPr>
                <w:rFonts w:ascii="宋体" w:eastAsia="宋体" w:hAnsi="宋体" w:cs="宋体"/>
                <w:color w:val="000000"/>
                <w:kern w:val="0"/>
                <w:sz w:val="22"/>
                <w:szCs w:val="22"/>
              </w:rPr>
            </w:pPr>
            <w:r w:rsidRPr="00E40414">
              <w:rPr>
                <w:rFonts w:ascii="宋体" w:eastAsia="宋体" w:hAnsi="宋体" w:cs="宋体" w:hint="eastAsia"/>
                <w:color w:val="000000"/>
                <w:kern w:val="0"/>
                <w:sz w:val="22"/>
                <w:szCs w:val="22"/>
              </w:rPr>
              <w:t>100</w:t>
            </w:r>
          </w:p>
        </w:tc>
      </w:tr>
    </w:tbl>
    <w:p w:rsidR="00691F84" w:rsidRDefault="00691F84" w:rsidP="00691F84">
      <w:pPr>
        <w:ind w:firstLine="720"/>
        <w:rPr>
          <w:rFonts w:ascii="仿宋" w:eastAsia="仿宋" w:hAnsi="仿宋"/>
          <w:szCs w:val="32"/>
        </w:rPr>
      </w:pPr>
    </w:p>
    <w:p w:rsidR="00422581" w:rsidRDefault="00422581" w:rsidP="00691F84">
      <w:pPr>
        <w:ind w:firstLine="720"/>
        <w:rPr>
          <w:rFonts w:ascii="仿宋" w:eastAsia="仿宋" w:hAnsi="仿宋"/>
          <w:szCs w:val="32"/>
        </w:rPr>
        <w:sectPr w:rsidR="00422581">
          <w:pgSz w:w="11906" w:h="16838"/>
          <w:pgMar w:top="1440" w:right="1800" w:bottom="1440" w:left="1800" w:header="851" w:footer="992" w:gutter="0"/>
          <w:cols w:space="425"/>
          <w:docGrid w:type="lines" w:linePitch="312"/>
        </w:sectPr>
      </w:pPr>
    </w:p>
    <w:p w:rsidR="00691F84" w:rsidRDefault="00691F84" w:rsidP="00691F84">
      <w:pPr>
        <w:ind w:firstLine="720"/>
        <w:rPr>
          <w:rFonts w:ascii="仿宋" w:eastAsia="仿宋" w:hAnsi="仿宋"/>
          <w:szCs w:val="32"/>
        </w:rPr>
      </w:pPr>
      <w:r w:rsidRPr="00F043B0">
        <w:rPr>
          <w:rFonts w:ascii="仿宋" w:eastAsia="仿宋" w:hAnsi="仿宋" w:hint="eastAsia"/>
          <w:b/>
          <w:szCs w:val="32"/>
        </w:rPr>
        <w:lastRenderedPageBreak/>
        <w:t>3.</w:t>
      </w:r>
      <w:r w:rsidRPr="006B6EA1">
        <w:rPr>
          <w:rFonts w:ascii="仿宋" w:eastAsia="仿宋" w:hAnsi="仿宋" w:hint="eastAsia"/>
          <w:b/>
          <w:szCs w:val="32"/>
        </w:rPr>
        <w:t>应用型公办</w:t>
      </w:r>
      <w:r w:rsidR="000B46E0">
        <w:rPr>
          <w:rFonts w:ascii="仿宋" w:eastAsia="仿宋" w:hAnsi="仿宋" w:hint="eastAsia"/>
          <w:b/>
          <w:szCs w:val="32"/>
        </w:rPr>
        <w:t>一般</w:t>
      </w:r>
      <w:r w:rsidRPr="006B6EA1">
        <w:rPr>
          <w:rFonts w:ascii="仿宋" w:eastAsia="仿宋" w:hAnsi="仿宋" w:hint="eastAsia"/>
          <w:b/>
          <w:szCs w:val="32"/>
        </w:rPr>
        <w:t>本科高校</w:t>
      </w:r>
      <w:r>
        <w:rPr>
          <w:rFonts w:ascii="仿宋" w:eastAsia="仿宋" w:hAnsi="仿宋" w:hint="eastAsia"/>
          <w:szCs w:val="32"/>
        </w:rPr>
        <w:t>。本指标体系</w:t>
      </w:r>
      <w:r w:rsidR="00842819">
        <w:rPr>
          <w:rFonts w:ascii="仿宋" w:eastAsia="仿宋" w:hAnsi="仿宋" w:hint="eastAsia"/>
          <w:szCs w:val="32"/>
        </w:rPr>
        <w:t>设</w:t>
      </w:r>
      <w:r>
        <w:rPr>
          <w:rFonts w:ascii="仿宋" w:eastAsia="仿宋" w:hAnsi="仿宋" w:hint="eastAsia"/>
          <w:szCs w:val="32"/>
        </w:rPr>
        <w:t>6个一级指标、2</w:t>
      </w:r>
      <w:r w:rsidR="00F100E1">
        <w:rPr>
          <w:rFonts w:ascii="仿宋" w:eastAsia="仿宋" w:hAnsi="仿宋" w:hint="eastAsia"/>
          <w:szCs w:val="32"/>
        </w:rPr>
        <w:t>2</w:t>
      </w:r>
      <w:r>
        <w:rPr>
          <w:rFonts w:ascii="仿宋" w:eastAsia="仿宋" w:hAnsi="仿宋" w:hint="eastAsia"/>
          <w:szCs w:val="32"/>
        </w:rPr>
        <w:t>个二级指标</w:t>
      </w:r>
      <w:r w:rsidR="00842819">
        <w:rPr>
          <w:rFonts w:ascii="仿宋" w:eastAsia="仿宋" w:hAnsi="仿宋" w:hint="eastAsia"/>
          <w:szCs w:val="32"/>
        </w:rPr>
        <w:t>，1</w:t>
      </w:r>
      <w:r w:rsidR="00F100E1">
        <w:rPr>
          <w:rFonts w:ascii="仿宋" w:eastAsia="仿宋" w:hAnsi="仿宋" w:hint="eastAsia"/>
          <w:szCs w:val="32"/>
        </w:rPr>
        <w:t>8</w:t>
      </w:r>
      <w:r w:rsidR="00842819">
        <w:rPr>
          <w:rFonts w:ascii="仿宋" w:eastAsia="仿宋" w:hAnsi="仿宋" w:hint="eastAsia"/>
          <w:szCs w:val="32"/>
        </w:rPr>
        <w:t>个核心三级指标</w:t>
      </w:r>
      <w:r w:rsidR="00F100E1">
        <w:rPr>
          <w:rFonts w:ascii="仿宋" w:eastAsia="仿宋" w:hAnsi="仿宋" w:hint="eastAsia"/>
          <w:szCs w:val="32"/>
        </w:rPr>
        <w:t>(用</w:t>
      </w:r>
      <w:r w:rsidR="00F100E1" w:rsidRPr="00DA73BA">
        <w:rPr>
          <w:rFonts w:ascii="仿宋" w:eastAsia="仿宋" w:hAnsi="仿宋" w:hint="eastAsia"/>
          <w:szCs w:val="32"/>
        </w:rPr>
        <w:t>★</w:t>
      </w:r>
      <w:r w:rsidR="00F100E1" w:rsidRPr="00E40414">
        <w:rPr>
          <w:rFonts w:ascii="仿宋" w:eastAsia="仿宋" w:hAnsi="仿宋" w:hint="eastAsia"/>
          <w:szCs w:val="32"/>
        </w:rPr>
        <w:t>标识)</w:t>
      </w:r>
      <w:r>
        <w:rPr>
          <w:rFonts w:ascii="仿宋" w:eastAsia="仿宋" w:hAnsi="仿宋" w:hint="eastAsia"/>
          <w:szCs w:val="32"/>
        </w:rPr>
        <w:t>。具体指标如下：</w:t>
      </w:r>
    </w:p>
    <w:tbl>
      <w:tblPr>
        <w:tblW w:w="9090" w:type="dxa"/>
        <w:jc w:val="center"/>
        <w:tblLook w:val="04A0" w:firstRow="1" w:lastRow="0" w:firstColumn="1" w:lastColumn="0" w:noHBand="0" w:noVBand="1"/>
      </w:tblPr>
      <w:tblGrid>
        <w:gridCol w:w="1220"/>
        <w:gridCol w:w="924"/>
        <w:gridCol w:w="1520"/>
        <w:gridCol w:w="890"/>
        <w:gridCol w:w="3544"/>
        <w:gridCol w:w="992"/>
      </w:tblGrid>
      <w:tr w:rsidR="00F100E1" w:rsidRPr="00F100E1" w:rsidTr="00F100E1">
        <w:trPr>
          <w:trHeight w:val="480"/>
          <w:tblHeader/>
          <w:jc w:val="center"/>
        </w:trPr>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一级指标</w:t>
            </w:r>
          </w:p>
        </w:tc>
        <w:tc>
          <w:tcPr>
            <w:tcW w:w="924"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二级指标</w:t>
            </w:r>
          </w:p>
        </w:tc>
        <w:tc>
          <w:tcPr>
            <w:tcW w:w="890"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三级指标</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r>
      <w:tr w:rsidR="00F100E1" w:rsidRPr="00F100E1" w:rsidTr="00F100E1">
        <w:trPr>
          <w:trHeight w:val="480"/>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1.体制机制改革</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 体制机制改革举措及成效</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★1.1.1 人事管理制度改革</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1.1.2 人才培养机制改革</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★1.1.3 科研体制机制改革</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1.1.4 资源配置机制改革</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1.1.5 其它</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2.师资队伍</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20</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2.1队伍规模及结构</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2.1.1生师比</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2.1.2 学历结构</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2.2教师专业发展</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★2.2.1 高层次人才引培</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★2.2.2 教师培养</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★2.2.3 双师双能教师引育</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2.2.4教师队伍国际化</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2.3教师管理</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2.3.1 管理及制度建设</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3.人才培养</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37</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3.1专业和课程建设(5分)</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5</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3.1.1专业认证</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★3.1.2优质专业和课程建设</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3.1.3校企共建课程</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3.2教师教学能力</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★3.2.1教师到企业实践情况</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3.2.2教师教学能力提升</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3.3实践教学</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9</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★3.3.1实践（实训）教学学分（学时）数占比</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684"/>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3.3.2校内外实验（实践）教学平台建设</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3.3.3创新创业教育</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3.4人才培养模式改革及成效</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3.4.1学分制改革</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★3.4.2校企协同育人</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3.4.3信息化建设及国际交流与合作</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3.4.4教学成果奖</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3.5质量保障体系建设及成效</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★3.5.1教学评估</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3.5.2学科、技能竞赛</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3.5.3毕业设计（论文）选题</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480"/>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3.6学位授予质量</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3.6.1学士学位授予工作质量</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F100E1">
        <w:trPr>
          <w:trHeight w:val="708"/>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4.学科建设与科学研究</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13</w:t>
            </w: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4.1重点学科培育建设</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★4.1.1 省级重点学科的增量（或层次提升）</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4.2 协同创新平台培育建设</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4.2.2 协同创新平台认定及建设成效</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4.3 高层次科研创新平台建设</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★4.3.1 现有或新增高层次科研创新平台及建设成效</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4.4 科研诚信与学风建设</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4.4.1 制度建设及学术不端行为</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4.5 科研成果质量及影响力</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4.5.1 重大科研奖励（成果）</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★4.6.2 师均高水平论文数（本科高校）</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4.6 拨入科研经费数量</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★4.6.1 师均科技项目经费、社科项目经费或综合科研项目经费</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5.社会服务</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 研究、开发、服务机构建设</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5.1.1 新型研发机构和新型智库建设</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5.1.2 技术转移机构、科研成果转化服务平台及其他产学研合作平台建设</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5.1.3 有关研究、开发、服务机构的运作及产出情况</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5.2 知识产权创造</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br/>
              <w:t>5.2.1 发明专利申报授权及专利奖</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0.5</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5.2.2 软件著作权、鉴定的科技成果</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0.5</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 科研服务及成果转化</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★5.3.1 横向合作经费</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5.3.2 成果转让经费</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5.3.3 咨政建言或服务中小学教师专业发展</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5.3.4 科研成果转化应用典型案例</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6.综合管理绩效评价</w:t>
            </w:r>
          </w:p>
        </w:tc>
        <w:tc>
          <w:tcPr>
            <w:tcW w:w="924"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12</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6.1资源统筹力度及合理配置</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4.5</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★6.1.1学校统筹力度和支出结构）</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2.5</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6.1.2财务管理</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6.2预算执行进度和绩效</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★6.2.1国库集中支付项目支出进度</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rPr>
                <w:rFonts w:ascii="宋体" w:eastAsia="宋体" w:hAnsi="宋体" w:cs="宋体"/>
                <w:kern w:val="0"/>
                <w:sz w:val="22"/>
                <w:szCs w:val="22"/>
              </w:rPr>
            </w:pPr>
            <w:r w:rsidRPr="00F100E1">
              <w:rPr>
                <w:rFonts w:ascii="宋体" w:eastAsia="宋体" w:hAnsi="宋体" w:cs="宋体" w:hint="eastAsia"/>
                <w:kern w:val="0"/>
                <w:sz w:val="22"/>
                <w:szCs w:val="22"/>
              </w:rPr>
              <w:t>6.2.2绩效评价工作</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6.3“创新强校工程”建设资金管理情况</w:t>
            </w:r>
          </w:p>
        </w:tc>
        <w:tc>
          <w:tcPr>
            <w:tcW w:w="89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4.5</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rPr>
                <w:rFonts w:ascii="宋体" w:eastAsia="宋体" w:hAnsi="宋体" w:cs="宋体"/>
                <w:kern w:val="0"/>
                <w:sz w:val="22"/>
                <w:szCs w:val="22"/>
              </w:rPr>
            </w:pPr>
            <w:r w:rsidRPr="00F100E1">
              <w:rPr>
                <w:rFonts w:ascii="宋体" w:eastAsia="宋体" w:hAnsi="宋体" w:cs="宋体" w:hint="eastAsia"/>
                <w:kern w:val="0"/>
                <w:sz w:val="22"/>
                <w:szCs w:val="22"/>
              </w:rPr>
              <w:t>6.3.1“创新强校工程”项目管理</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F100E1">
        <w:trPr>
          <w:trHeight w:val="708"/>
          <w:jc w:val="center"/>
        </w:trPr>
        <w:tc>
          <w:tcPr>
            <w:tcW w:w="12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24"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5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89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★6.3.2“创新强校工程”项目资金安排及预算执行</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3.5</w:t>
            </w:r>
          </w:p>
        </w:tc>
      </w:tr>
      <w:tr w:rsidR="00F100E1" w:rsidRPr="00F100E1" w:rsidTr="00F100E1">
        <w:trPr>
          <w:trHeight w:val="480"/>
          <w:jc w:val="center"/>
        </w:trPr>
        <w:tc>
          <w:tcPr>
            <w:tcW w:w="1220" w:type="dxa"/>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总计</w:t>
            </w:r>
          </w:p>
        </w:tc>
        <w:tc>
          <w:tcPr>
            <w:tcW w:w="92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100</w:t>
            </w:r>
          </w:p>
        </w:tc>
        <w:tc>
          <w:tcPr>
            <w:tcW w:w="152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 xml:space="preserve">　</w:t>
            </w:r>
          </w:p>
        </w:tc>
        <w:tc>
          <w:tcPr>
            <w:tcW w:w="890"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100</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100</w:t>
            </w:r>
          </w:p>
        </w:tc>
      </w:tr>
    </w:tbl>
    <w:p w:rsidR="00422581" w:rsidRDefault="00422581" w:rsidP="00691F84">
      <w:pPr>
        <w:ind w:firstLine="720"/>
        <w:rPr>
          <w:rFonts w:ascii="仿宋" w:eastAsia="仿宋" w:hAnsi="仿宋"/>
          <w:szCs w:val="32"/>
        </w:rPr>
      </w:pPr>
    </w:p>
    <w:p w:rsidR="00F100E1" w:rsidRDefault="00F100E1" w:rsidP="00691F84">
      <w:pPr>
        <w:ind w:firstLine="720"/>
        <w:rPr>
          <w:rFonts w:ascii="仿宋" w:eastAsia="仿宋" w:hAnsi="仿宋"/>
          <w:szCs w:val="32"/>
        </w:rPr>
        <w:sectPr w:rsidR="00F100E1">
          <w:pgSz w:w="11906" w:h="16838"/>
          <w:pgMar w:top="1440" w:right="1800" w:bottom="1440" w:left="1800" w:header="851" w:footer="992" w:gutter="0"/>
          <w:cols w:space="425"/>
          <w:docGrid w:type="lines" w:linePitch="312"/>
        </w:sectPr>
      </w:pPr>
    </w:p>
    <w:p w:rsidR="00691F84" w:rsidRDefault="00691F84" w:rsidP="00691F84">
      <w:pPr>
        <w:ind w:firstLine="720"/>
        <w:rPr>
          <w:rFonts w:ascii="仿宋" w:eastAsia="仿宋" w:hAnsi="仿宋"/>
          <w:szCs w:val="32"/>
        </w:rPr>
      </w:pPr>
      <w:r>
        <w:rPr>
          <w:rFonts w:ascii="仿宋" w:eastAsia="仿宋" w:hAnsi="仿宋" w:hint="eastAsia"/>
          <w:szCs w:val="32"/>
        </w:rPr>
        <w:lastRenderedPageBreak/>
        <w:t>4．</w:t>
      </w:r>
      <w:r w:rsidRPr="006B6EA1">
        <w:rPr>
          <w:rFonts w:ascii="仿宋" w:eastAsia="仿宋" w:hAnsi="仿宋" w:hint="eastAsia"/>
          <w:b/>
          <w:szCs w:val="32"/>
        </w:rPr>
        <w:t>应用型民办本科高校</w:t>
      </w:r>
      <w:r>
        <w:rPr>
          <w:rFonts w:ascii="仿宋" w:eastAsia="仿宋" w:hAnsi="仿宋" w:hint="eastAsia"/>
          <w:szCs w:val="32"/>
        </w:rPr>
        <w:t>。本指标体系</w:t>
      </w:r>
      <w:r w:rsidR="00842819">
        <w:rPr>
          <w:rFonts w:ascii="仿宋" w:eastAsia="仿宋" w:hAnsi="仿宋" w:hint="eastAsia"/>
          <w:szCs w:val="32"/>
        </w:rPr>
        <w:t>设</w:t>
      </w:r>
      <w:r>
        <w:rPr>
          <w:rFonts w:ascii="仿宋" w:eastAsia="仿宋" w:hAnsi="仿宋" w:hint="eastAsia"/>
          <w:szCs w:val="32"/>
        </w:rPr>
        <w:t>6个一级指标、</w:t>
      </w:r>
      <w:r w:rsidR="000B46E0">
        <w:rPr>
          <w:rFonts w:ascii="仿宋" w:eastAsia="仿宋" w:hAnsi="仿宋" w:hint="eastAsia"/>
          <w:szCs w:val="32"/>
        </w:rPr>
        <w:t>21</w:t>
      </w:r>
      <w:r>
        <w:rPr>
          <w:rFonts w:ascii="仿宋" w:eastAsia="仿宋" w:hAnsi="仿宋" w:hint="eastAsia"/>
          <w:szCs w:val="32"/>
        </w:rPr>
        <w:t>个二级指标</w:t>
      </w:r>
      <w:r w:rsidR="00842819">
        <w:rPr>
          <w:rFonts w:ascii="仿宋" w:eastAsia="仿宋" w:hAnsi="仿宋" w:hint="eastAsia"/>
          <w:szCs w:val="32"/>
        </w:rPr>
        <w:t>，14个关键核心三级指标</w:t>
      </w:r>
      <w:r w:rsidR="00F100E1">
        <w:rPr>
          <w:rFonts w:ascii="仿宋" w:eastAsia="仿宋" w:hAnsi="仿宋" w:hint="eastAsia"/>
          <w:szCs w:val="32"/>
        </w:rPr>
        <w:t>(用</w:t>
      </w:r>
      <w:r w:rsidR="00F100E1" w:rsidRPr="00DA73BA">
        <w:rPr>
          <w:rFonts w:ascii="仿宋" w:eastAsia="仿宋" w:hAnsi="仿宋" w:hint="eastAsia"/>
          <w:szCs w:val="32"/>
        </w:rPr>
        <w:t>★</w:t>
      </w:r>
      <w:r w:rsidR="00F100E1" w:rsidRPr="00E40414">
        <w:rPr>
          <w:rFonts w:ascii="仿宋" w:eastAsia="仿宋" w:hAnsi="仿宋" w:hint="eastAsia"/>
          <w:szCs w:val="32"/>
        </w:rPr>
        <w:t>标识)</w:t>
      </w:r>
      <w:r>
        <w:rPr>
          <w:rFonts w:ascii="仿宋" w:eastAsia="仿宋" w:hAnsi="仿宋" w:hint="eastAsia"/>
          <w:szCs w:val="32"/>
        </w:rPr>
        <w:t>。具体指标如下：</w:t>
      </w:r>
    </w:p>
    <w:tbl>
      <w:tblPr>
        <w:tblW w:w="9447" w:type="dxa"/>
        <w:jc w:val="center"/>
        <w:tblLook w:val="04A0" w:firstRow="1" w:lastRow="0" w:firstColumn="1" w:lastColumn="0" w:noHBand="0" w:noVBand="1"/>
      </w:tblPr>
      <w:tblGrid>
        <w:gridCol w:w="1120"/>
        <w:gridCol w:w="913"/>
        <w:gridCol w:w="1886"/>
        <w:gridCol w:w="992"/>
        <w:gridCol w:w="3544"/>
        <w:gridCol w:w="992"/>
      </w:tblGrid>
      <w:tr w:rsidR="00F100E1" w:rsidRPr="00F100E1" w:rsidTr="002D0EBE">
        <w:trPr>
          <w:trHeight w:val="492"/>
          <w:tblHeader/>
          <w:jc w:val="center"/>
        </w:trPr>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一级指标</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c>
          <w:tcPr>
            <w:tcW w:w="1886"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二级指标</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三级指标</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b/>
                <w:bCs/>
                <w:kern w:val="0"/>
                <w:sz w:val="22"/>
                <w:szCs w:val="22"/>
              </w:rPr>
            </w:pPr>
            <w:r w:rsidRPr="00F100E1">
              <w:rPr>
                <w:rFonts w:ascii="宋体" w:eastAsia="宋体" w:hAnsi="宋体" w:cs="宋体" w:hint="eastAsia"/>
                <w:b/>
                <w:bCs/>
                <w:kern w:val="0"/>
                <w:sz w:val="22"/>
                <w:szCs w:val="22"/>
              </w:rPr>
              <w:t>满分值</w:t>
            </w:r>
          </w:p>
        </w:tc>
      </w:tr>
      <w:tr w:rsidR="00F100E1" w:rsidRPr="00F100E1" w:rsidTr="002D0EBE">
        <w:trPr>
          <w:trHeight w:val="49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1.体制机制改革</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w:t>
            </w: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 体制机制改革举措及成效</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10</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★1.1.1 人事管理制度改革</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1.1.2 人才培养机制改革</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★1.1.3 科研体制机制改革</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1.1.4 资源配置机制改革</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1.1.5 其它</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2.师资队伍</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20</w:t>
            </w: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2.1队伍规模及结构</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2.1.1生师比</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★2.1.2 学历结构</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2.2教师专业发展</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2.2.1 高层次人才引培</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*2.2.2 教师培养</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2.2.3 双师双能教师引育</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2.2.4教师队伍国际化</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2.3教师管理</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2.3.1 管理及制度建设</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2D0EBE">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3.人才培养</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37</w:t>
            </w: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3.1专业和课程建设</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5</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3.1.1专业及课程建设规划</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3.1.2优质专业和课程建设</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3.1.3校企共建课程</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3.2教师教学能力</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★3.2.1教师到企业实践情况</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3.2.1教师教学能力提升</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63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3.3实践教学</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★3.3.1实践（实训）教学学分（学时）数占比</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3.3.2校内外实验（实践）教学平台建设</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3.2.3创新创业教育</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3.4人才培养模式改革与成效</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3.4.1学分制改革</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★3.4.2校企协同育人</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3.4.3信息化建设及国际交流与合作</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3.4.4教学成果奖</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3.5质量保障体系建设及成效</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9</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★3.5.1教学评估</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3.5.2学科、技能竞赛</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3.5.3报到率</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3.5.4考研率</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3.5.5毕业设计（论文）选题</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3.6学位授予质量</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3.6.1学士学位授予工作质量</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696"/>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4.学科建设与科学研究</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4.1 重点学科培育建设</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2</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★4.1.1 省级重点学科的增量（或层次提升）</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4.2高层次科研创新平台建设</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4.2.1 现有或新增高层次科研创新平台及建设成效</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4.3 科研诚信与学风建设</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4.3.1 制度建设及学术不端行为</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4.4 科研成果质量及影响力</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★4.4.1 师均高水平论文数</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4.5 拨入科研经费数量</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★4.5.1 师均科技项目经费、社科项目经费或综合科研项目经费</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4</w:t>
            </w:r>
          </w:p>
        </w:tc>
      </w:tr>
      <w:tr w:rsidR="00F100E1" w:rsidRPr="00F100E1" w:rsidTr="002D0EBE">
        <w:trPr>
          <w:trHeight w:val="696"/>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5.社会服务</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8</w:t>
            </w: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 研究、开发、服务机构建设</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5.1.1 新型研发机构和新型智库建设</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5.1.2 技术转移机构、科研成果转化服务平台及其他产学研合作平台建设</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69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5.1.3 有关研究、开发、服务机构的运作及产出情况</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5.2 知识产权创造</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5.2.1 发明专利申报授权及专利奖</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0.5</w:t>
            </w:r>
          </w:p>
        </w:tc>
      </w:tr>
      <w:tr w:rsidR="00F100E1" w:rsidRPr="00F100E1" w:rsidTr="002D0EBE">
        <w:trPr>
          <w:trHeight w:val="636"/>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5.2.2 软件著作权、鉴定的科技成果）</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0.5</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 科研服务及成果转化</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★5.3.1 横向合作经费</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5.3.2 成果转让经费</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5.3.3 咨政建言</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5.3.4 科研成果转化应用典型案例</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lastRenderedPageBreak/>
              <w:t>6.综合管理绩效评价</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12</w:t>
            </w: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6.1资源统筹办度及合理配置</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5</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★6.1.1学校统筹力度和支出结构</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6.1.2财务管理</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6.2年检及财政支持项目的绩效考核情况</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3</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★6.2.1学校年检</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2</w:t>
            </w:r>
          </w:p>
        </w:tc>
      </w:tr>
      <w:tr w:rsidR="00F100E1" w:rsidRPr="00F100E1" w:rsidTr="002D0EBE">
        <w:trPr>
          <w:trHeight w:val="588"/>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6.2.2学校获得中央或省的专项资助项目及绩效评价工作</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6.3“创新强校工程”建设资金管理情况</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2"/>
                <w:szCs w:val="22"/>
              </w:rPr>
            </w:pPr>
            <w:r w:rsidRPr="00F100E1">
              <w:rPr>
                <w:rFonts w:ascii="宋体" w:eastAsia="宋体" w:hAnsi="宋体" w:cs="宋体" w:hint="eastAsia"/>
                <w:kern w:val="0"/>
                <w:sz w:val="22"/>
                <w:szCs w:val="22"/>
              </w:rPr>
              <w:t>4</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rPr>
                <w:rFonts w:ascii="宋体" w:eastAsia="宋体" w:hAnsi="宋体" w:cs="宋体"/>
                <w:kern w:val="0"/>
                <w:sz w:val="22"/>
                <w:szCs w:val="22"/>
              </w:rPr>
            </w:pPr>
            <w:r w:rsidRPr="00F100E1">
              <w:rPr>
                <w:rFonts w:ascii="宋体" w:eastAsia="宋体" w:hAnsi="宋体" w:cs="宋体" w:hint="eastAsia"/>
                <w:kern w:val="0"/>
                <w:sz w:val="22"/>
                <w:szCs w:val="22"/>
              </w:rPr>
              <w:t>6.3.1“创新强校工程”项目管理</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w:t>
            </w:r>
          </w:p>
        </w:tc>
      </w:tr>
      <w:tr w:rsidR="00F100E1" w:rsidRPr="00F100E1" w:rsidTr="002D0EBE">
        <w:trPr>
          <w:trHeight w:val="492"/>
          <w:jc w:val="center"/>
        </w:trPr>
        <w:tc>
          <w:tcPr>
            <w:tcW w:w="1120"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13"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1886"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992" w:type="dxa"/>
            <w:vMerge/>
            <w:tcBorders>
              <w:top w:val="nil"/>
              <w:left w:val="single" w:sz="4" w:space="0" w:color="auto"/>
              <w:bottom w:val="single" w:sz="4" w:space="0" w:color="auto"/>
              <w:right w:val="single" w:sz="4" w:space="0" w:color="auto"/>
            </w:tcBorders>
            <w:vAlign w:val="center"/>
            <w:hideMark/>
          </w:tcPr>
          <w:p w:rsidR="00F100E1" w:rsidRPr="00F100E1" w:rsidRDefault="00F100E1" w:rsidP="00F100E1">
            <w:pPr>
              <w:widowControl/>
              <w:jc w:val="left"/>
              <w:rPr>
                <w:rFonts w:ascii="宋体" w:eastAsia="宋体" w:hAnsi="宋体" w:cs="宋体"/>
                <w:kern w:val="0"/>
                <w:sz w:val="22"/>
                <w:szCs w:val="22"/>
              </w:rPr>
            </w:pP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2"/>
                <w:szCs w:val="22"/>
              </w:rPr>
            </w:pPr>
            <w:r w:rsidRPr="00F100E1">
              <w:rPr>
                <w:rFonts w:ascii="宋体" w:eastAsia="宋体" w:hAnsi="宋体" w:cs="宋体" w:hint="eastAsia"/>
                <w:kern w:val="0"/>
                <w:sz w:val="22"/>
                <w:szCs w:val="22"/>
              </w:rPr>
              <w:t>★6.3.2“创新强校工程”项目预算执行</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3</w:t>
            </w:r>
          </w:p>
        </w:tc>
      </w:tr>
      <w:tr w:rsidR="00F100E1" w:rsidRPr="00F100E1" w:rsidTr="002D0EBE">
        <w:trPr>
          <w:trHeight w:val="492"/>
          <w:jc w:val="center"/>
        </w:trPr>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0"/>
                <w:szCs w:val="20"/>
              </w:rPr>
            </w:pPr>
            <w:r w:rsidRPr="00F100E1">
              <w:rPr>
                <w:rFonts w:ascii="宋体" w:eastAsia="宋体" w:hAnsi="宋体" w:cs="宋体" w:hint="eastAsia"/>
                <w:kern w:val="0"/>
                <w:sz w:val="20"/>
                <w:szCs w:val="20"/>
              </w:rPr>
              <w:t>总计</w:t>
            </w:r>
          </w:p>
        </w:tc>
        <w:tc>
          <w:tcPr>
            <w:tcW w:w="913"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0"/>
                <w:szCs w:val="20"/>
              </w:rPr>
            </w:pPr>
            <w:r w:rsidRPr="00F100E1">
              <w:rPr>
                <w:rFonts w:ascii="宋体" w:eastAsia="宋体" w:hAnsi="宋体" w:cs="宋体" w:hint="eastAsia"/>
                <w:kern w:val="0"/>
                <w:sz w:val="20"/>
                <w:szCs w:val="20"/>
              </w:rPr>
              <w:t>100</w:t>
            </w:r>
          </w:p>
        </w:tc>
        <w:tc>
          <w:tcPr>
            <w:tcW w:w="1886"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0"/>
                <w:szCs w:val="20"/>
              </w:rPr>
            </w:pPr>
            <w:r w:rsidRPr="00F100E1">
              <w:rPr>
                <w:rFonts w:ascii="宋体" w:eastAsia="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center"/>
              <w:rPr>
                <w:rFonts w:ascii="宋体" w:eastAsia="宋体" w:hAnsi="宋体" w:cs="宋体"/>
                <w:kern w:val="0"/>
                <w:sz w:val="20"/>
                <w:szCs w:val="20"/>
              </w:rPr>
            </w:pPr>
            <w:r w:rsidRPr="00F100E1">
              <w:rPr>
                <w:rFonts w:ascii="宋体" w:eastAsia="宋体" w:hAnsi="宋体" w:cs="宋体" w:hint="eastAsia"/>
                <w:kern w:val="0"/>
                <w:sz w:val="20"/>
                <w:szCs w:val="20"/>
              </w:rPr>
              <w:t>100</w:t>
            </w:r>
          </w:p>
        </w:tc>
        <w:tc>
          <w:tcPr>
            <w:tcW w:w="3544" w:type="dxa"/>
            <w:tcBorders>
              <w:top w:val="nil"/>
              <w:left w:val="nil"/>
              <w:bottom w:val="single" w:sz="4" w:space="0" w:color="auto"/>
              <w:right w:val="single" w:sz="4" w:space="0" w:color="auto"/>
            </w:tcBorders>
            <w:shd w:val="clear" w:color="000000" w:fill="FFFFFF"/>
            <w:vAlign w:val="center"/>
            <w:hideMark/>
          </w:tcPr>
          <w:p w:rsidR="00F100E1" w:rsidRPr="00F100E1" w:rsidRDefault="00F100E1" w:rsidP="00F100E1">
            <w:pPr>
              <w:widowControl/>
              <w:jc w:val="left"/>
              <w:rPr>
                <w:rFonts w:ascii="宋体" w:eastAsia="宋体" w:hAnsi="宋体" w:cs="宋体"/>
                <w:kern w:val="0"/>
                <w:sz w:val="20"/>
                <w:szCs w:val="20"/>
              </w:rPr>
            </w:pPr>
            <w:r w:rsidRPr="00F100E1">
              <w:rPr>
                <w:rFonts w:ascii="宋体" w:eastAsia="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F100E1" w:rsidRPr="00F100E1" w:rsidRDefault="00F100E1" w:rsidP="00F100E1">
            <w:pPr>
              <w:widowControl/>
              <w:jc w:val="center"/>
              <w:rPr>
                <w:rFonts w:ascii="宋体" w:eastAsia="宋体" w:hAnsi="宋体" w:cs="宋体"/>
                <w:color w:val="000000"/>
                <w:kern w:val="0"/>
                <w:sz w:val="22"/>
                <w:szCs w:val="22"/>
              </w:rPr>
            </w:pPr>
            <w:r w:rsidRPr="00F100E1">
              <w:rPr>
                <w:rFonts w:ascii="宋体" w:eastAsia="宋体" w:hAnsi="宋体" w:cs="宋体" w:hint="eastAsia"/>
                <w:color w:val="000000"/>
                <w:kern w:val="0"/>
                <w:sz w:val="22"/>
                <w:szCs w:val="22"/>
              </w:rPr>
              <w:t>100</w:t>
            </w:r>
          </w:p>
        </w:tc>
      </w:tr>
    </w:tbl>
    <w:p w:rsidR="005520E3" w:rsidRDefault="005520E3" w:rsidP="00691F84">
      <w:pPr>
        <w:ind w:firstLine="720"/>
        <w:rPr>
          <w:rFonts w:ascii="仿宋" w:eastAsia="仿宋" w:hAnsi="仿宋"/>
          <w:szCs w:val="32"/>
        </w:rPr>
      </w:pPr>
    </w:p>
    <w:p w:rsidR="005520E3" w:rsidRDefault="005520E3" w:rsidP="00691F84">
      <w:pPr>
        <w:ind w:firstLine="720"/>
        <w:rPr>
          <w:rFonts w:ascii="仿宋" w:eastAsia="仿宋" w:hAnsi="仿宋"/>
          <w:szCs w:val="32"/>
        </w:rPr>
      </w:pPr>
    </w:p>
    <w:p w:rsidR="005520E3" w:rsidRDefault="005520E3" w:rsidP="00691F84">
      <w:pPr>
        <w:ind w:firstLine="720"/>
        <w:rPr>
          <w:rFonts w:ascii="仿宋" w:eastAsia="仿宋" w:hAnsi="仿宋"/>
          <w:szCs w:val="32"/>
        </w:rPr>
      </w:pPr>
    </w:p>
    <w:p w:rsidR="005520E3" w:rsidRDefault="005520E3" w:rsidP="00691F84">
      <w:pPr>
        <w:ind w:firstLine="720"/>
        <w:rPr>
          <w:rFonts w:ascii="仿宋" w:eastAsia="仿宋" w:hAnsi="仿宋"/>
          <w:szCs w:val="32"/>
        </w:rPr>
      </w:pPr>
    </w:p>
    <w:p w:rsidR="005520E3" w:rsidRDefault="005520E3" w:rsidP="00691F84">
      <w:pPr>
        <w:ind w:firstLine="720"/>
        <w:rPr>
          <w:rFonts w:ascii="仿宋" w:eastAsia="仿宋" w:hAnsi="仿宋"/>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pPr>
    </w:p>
    <w:p w:rsidR="000B46E0" w:rsidRDefault="000B46E0" w:rsidP="00691F84">
      <w:pPr>
        <w:ind w:firstLine="720"/>
        <w:rPr>
          <w:rFonts w:ascii="黑体" w:eastAsia="黑体" w:hAnsi="黑体"/>
          <w:szCs w:val="32"/>
        </w:rPr>
        <w:sectPr w:rsidR="000B46E0">
          <w:pgSz w:w="11906" w:h="16838"/>
          <w:pgMar w:top="1440" w:right="1800" w:bottom="1440" w:left="1800" w:header="851" w:footer="992" w:gutter="0"/>
          <w:cols w:space="425"/>
          <w:docGrid w:type="lines" w:linePitch="312"/>
        </w:sectPr>
      </w:pPr>
    </w:p>
    <w:p w:rsidR="00691F84" w:rsidRDefault="00691F84" w:rsidP="00691F84">
      <w:pPr>
        <w:ind w:firstLine="720"/>
        <w:rPr>
          <w:rFonts w:ascii="黑体" w:eastAsia="黑体" w:hAnsi="黑体"/>
          <w:szCs w:val="32"/>
        </w:rPr>
      </w:pPr>
      <w:r w:rsidRPr="00AD0D81">
        <w:rPr>
          <w:rFonts w:ascii="黑体" w:eastAsia="黑体" w:hAnsi="黑体" w:hint="eastAsia"/>
          <w:szCs w:val="32"/>
        </w:rPr>
        <w:lastRenderedPageBreak/>
        <w:t>二、指标内涵及评分标准</w:t>
      </w:r>
    </w:p>
    <w:p w:rsidR="00691F84" w:rsidRDefault="00691F84" w:rsidP="00BA4D76">
      <w:pPr>
        <w:ind w:firstLineChars="200" w:firstLine="640"/>
      </w:pPr>
      <w:r w:rsidRPr="00AD0D81">
        <w:rPr>
          <w:rFonts w:ascii="仿宋" w:eastAsia="仿宋" w:hAnsi="仿宋" w:hint="eastAsia"/>
          <w:szCs w:val="32"/>
        </w:rPr>
        <w:t>高水平重点项目建设高校、</w:t>
      </w:r>
      <w:r w:rsidR="000B46E0">
        <w:rPr>
          <w:rFonts w:ascii="仿宋" w:eastAsia="仿宋" w:hAnsi="仿宋" w:hint="eastAsia"/>
          <w:szCs w:val="32"/>
        </w:rPr>
        <w:t>应用型硕士授权</w:t>
      </w:r>
      <w:r w:rsidRPr="00AD0D81">
        <w:rPr>
          <w:rFonts w:ascii="仿宋" w:eastAsia="仿宋" w:hAnsi="仿宋" w:hint="eastAsia"/>
          <w:szCs w:val="32"/>
        </w:rPr>
        <w:t>高校、应用型公办</w:t>
      </w:r>
      <w:r w:rsidR="000B46E0">
        <w:rPr>
          <w:rFonts w:ascii="仿宋" w:eastAsia="仿宋" w:hAnsi="仿宋" w:hint="eastAsia"/>
          <w:szCs w:val="32"/>
        </w:rPr>
        <w:t>一般</w:t>
      </w:r>
      <w:r w:rsidRPr="00AD0D81">
        <w:rPr>
          <w:rFonts w:ascii="仿宋" w:eastAsia="仿宋" w:hAnsi="仿宋" w:hint="eastAsia"/>
          <w:szCs w:val="32"/>
        </w:rPr>
        <w:t>本科高校、应用型民办本科高校“创新强校工程”考核指标内涵及评分标准分别见附表1-4。</w:t>
      </w:r>
    </w:p>
    <w:p w:rsidR="00691F84" w:rsidRPr="00691F84" w:rsidRDefault="00691F84">
      <w:pPr>
        <w:sectPr w:rsidR="00691F84" w:rsidRPr="00691F84">
          <w:pgSz w:w="11906" w:h="16838"/>
          <w:pgMar w:top="1440" w:right="1800" w:bottom="1440" w:left="1800" w:header="851" w:footer="992" w:gutter="0"/>
          <w:cols w:space="425"/>
          <w:docGrid w:type="lines" w:linePitch="312"/>
        </w:sectPr>
      </w:pPr>
    </w:p>
    <w:p w:rsidR="00A70634" w:rsidRPr="0054099E" w:rsidRDefault="00A70634" w:rsidP="00691F84"/>
    <w:sectPr w:rsidR="00A70634" w:rsidRPr="0054099E" w:rsidSect="00E073F5">
      <w:pgSz w:w="16838" w:h="11906" w:orient="landscape"/>
      <w:pgMar w:top="1800" w:right="1440" w:bottom="1800" w:left="1440"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B9A" w:rsidRDefault="00B56B9A" w:rsidP="00E3081C">
      <w:r>
        <w:separator/>
      </w:r>
    </w:p>
  </w:endnote>
  <w:endnote w:type="continuationSeparator" w:id="0">
    <w:p w:rsidR="00B56B9A" w:rsidRDefault="00B56B9A" w:rsidP="00E30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385419"/>
      <w:docPartObj>
        <w:docPartGallery w:val="Page Numbers (Bottom of Page)"/>
        <w:docPartUnique/>
      </w:docPartObj>
    </w:sdtPr>
    <w:sdtEndPr/>
    <w:sdtContent>
      <w:p w:rsidR="00F100E1" w:rsidRDefault="00F100E1">
        <w:pPr>
          <w:pStyle w:val="a4"/>
          <w:jc w:val="center"/>
        </w:pPr>
        <w:r>
          <w:fldChar w:fldCharType="begin"/>
        </w:r>
        <w:r>
          <w:instrText>PAGE   \* MERGEFORMAT</w:instrText>
        </w:r>
        <w:r>
          <w:fldChar w:fldCharType="separate"/>
        </w:r>
        <w:r w:rsidR="00C42040" w:rsidRPr="00C42040">
          <w:rPr>
            <w:noProof/>
            <w:lang w:val="zh-CN"/>
          </w:rPr>
          <w:t>4</w:t>
        </w:r>
        <w:r>
          <w:fldChar w:fldCharType="end"/>
        </w:r>
      </w:p>
    </w:sdtContent>
  </w:sdt>
  <w:p w:rsidR="00F100E1" w:rsidRDefault="00F100E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B9A" w:rsidRDefault="00B56B9A" w:rsidP="00E3081C">
      <w:r>
        <w:separator/>
      </w:r>
    </w:p>
  </w:footnote>
  <w:footnote w:type="continuationSeparator" w:id="0">
    <w:p w:rsidR="00B56B9A" w:rsidRDefault="00B56B9A" w:rsidP="00E308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97A"/>
    <w:rsid w:val="000043C2"/>
    <w:rsid w:val="0005215C"/>
    <w:rsid w:val="000727C4"/>
    <w:rsid w:val="000B46E0"/>
    <w:rsid w:val="000D158D"/>
    <w:rsid w:val="000D5039"/>
    <w:rsid w:val="00116176"/>
    <w:rsid w:val="001453C8"/>
    <w:rsid w:val="001874BF"/>
    <w:rsid w:val="001E5FF8"/>
    <w:rsid w:val="002159E4"/>
    <w:rsid w:val="00226911"/>
    <w:rsid w:val="002B4CEA"/>
    <w:rsid w:val="002D0EBE"/>
    <w:rsid w:val="00343CC0"/>
    <w:rsid w:val="003B1CBC"/>
    <w:rsid w:val="00422581"/>
    <w:rsid w:val="00461724"/>
    <w:rsid w:val="00473CAF"/>
    <w:rsid w:val="005074FC"/>
    <w:rsid w:val="0054099E"/>
    <w:rsid w:val="005520E3"/>
    <w:rsid w:val="005918DC"/>
    <w:rsid w:val="005C76D0"/>
    <w:rsid w:val="00691F84"/>
    <w:rsid w:val="006B6EA1"/>
    <w:rsid w:val="006E12D9"/>
    <w:rsid w:val="00745F0D"/>
    <w:rsid w:val="00762C81"/>
    <w:rsid w:val="00786237"/>
    <w:rsid w:val="0079797A"/>
    <w:rsid w:val="00806F84"/>
    <w:rsid w:val="00814780"/>
    <w:rsid w:val="008214E0"/>
    <w:rsid w:val="00842819"/>
    <w:rsid w:val="00851770"/>
    <w:rsid w:val="00867C12"/>
    <w:rsid w:val="00875EF7"/>
    <w:rsid w:val="008F724D"/>
    <w:rsid w:val="00936161"/>
    <w:rsid w:val="00945853"/>
    <w:rsid w:val="00963F4C"/>
    <w:rsid w:val="009771B3"/>
    <w:rsid w:val="00A70634"/>
    <w:rsid w:val="00B56B9A"/>
    <w:rsid w:val="00BA4D76"/>
    <w:rsid w:val="00C42040"/>
    <w:rsid w:val="00C743FF"/>
    <w:rsid w:val="00CE39C8"/>
    <w:rsid w:val="00D82256"/>
    <w:rsid w:val="00DA73BA"/>
    <w:rsid w:val="00E073F5"/>
    <w:rsid w:val="00E3081C"/>
    <w:rsid w:val="00E40414"/>
    <w:rsid w:val="00EE5487"/>
    <w:rsid w:val="00F043B0"/>
    <w:rsid w:val="00F100E1"/>
    <w:rsid w:val="00F20D2B"/>
    <w:rsid w:val="00F35DB2"/>
    <w:rsid w:val="00F36CA1"/>
    <w:rsid w:val="00F71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A682BE-A01D-47F8-8E73-E4D31DFC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97A"/>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2">
    <w:name w:val="Char Char2"/>
    <w:basedOn w:val="a"/>
    <w:rsid w:val="0079797A"/>
    <w:rPr>
      <w:rFonts w:ascii="Times New Roman" w:eastAsia="宋体"/>
      <w:sz w:val="21"/>
      <w:szCs w:val="20"/>
    </w:rPr>
  </w:style>
  <w:style w:type="paragraph" w:styleId="a3">
    <w:name w:val="header"/>
    <w:basedOn w:val="a"/>
    <w:link w:val="Char"/>
    <w:uiPriority w:val="99"/>
    <w:unhideWhenUsed/>
    <w:rsid w:val="00E308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081C"/>
    <w:rPr>
      <w:rFonts w:ascii="仿宋_GB2312" w:eastAsia="仿宋_GB2312" w:hAnsi="Times New Roman" w:cs="Times New Roman"/>
      <w:sz w:val="18"/>
      <w:szCs w:val="18"/>
    </w:rPr>
  </w:style>
  <w:style w:type="paragraph" w:styleId="a4">
    <w:name w:val="footer"/>
    <w:basedOn w:val="a"/>
    <w:link w:val="Char0"/>
    <w:uiPriority w:val="99"/>
    <w:unhideWhenUsed/>
    <w:rsid w:val="00E3081C"/>
    <w:pPr>
      <w:tabs>
        <w:tab w:val="center" w:pos="4153"/>
        <w:tab w:val="right" w:pos="8306"/>
      </w:tabs>
      <w:snapToGrid w:val="0"/>
      <w:jc w:val="left"/>
    </w:pPr>
    <w:rPr>
      <w:sz w:val="18"/>
      <w:szCs w:val="18"/>
    </w:rPr>
  </w:style>
  <w:style w:type="character" w:customStyle="1" w:styleId="Char0">
    <w:name w:val="页脚 Char"/>
    <w:basedOn w:val="a0"/>
    <w:link w:val="a4"/>
    <w:uiPriority w:val="99"/>
    <w:rsid w:val="00E3081C"/>
    <w:rPr>
      <w:rFonts w:ascii="仿宋_GB2312" w:eastAsia="仿宋_GB2312" w:hAnsi="Times New Roman" w:cs="Times New Roman"/>
      <w:sz w:val="18"/>
      <w:szCs w:val="18"/>
    </w:rPr>
  </w:style>
  <w:style w:type="paragraph" w:styleId="a5">
    <w:name w:val="Balloon Text"/>
    <w:basedOn w:val="a"/>
    <w:link w:val="Char1"/>
    <w:uiPriority w:val="99"/>
    <w:semiHidden/>
    <w:unhideWhenUsed/>
    <w:rsid w:val="00945853"/>
    <w:rPr>
      <w:sz w:val="18"/>
      <w:szCs w:val="18"/>
    </w:rPr>
  </w:style>
  <w:style w:type="character" w:customStyle="1" w:styleId="Char1">
    <w:name w:val="批注框文本 Char"/>
    <w:basedOn w:val="a0"/>
    <w:link w:val="a5"/>
    <w:uiPriority w:val="99"/>
    <w:semiHidden/>
    <w:rsid w:val="00945853"/>
    <w:rPr>
      <w:rFonts w:ascii="仿宋_GB2312"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6942">
      <w:bodyDiv w:val="1"/>
      <w:marLeft w:val="0"/>
      <w:marRight w:val="0"/>
      <w:marTop w:val="0"/>
      <w:marBottom w:val="0"/>
      <w:divBdr>
        <w:top w:val="none" w:sz="0" w:space="0" w:color="auto"/>
        <w:left w:val="none" w:sz="0" w:space="0" w:color="auto"/>
        <w:bottom w:val="none" w:sz="0" w:space="0" w:color="auto"/>
        <w:right w:val="none" w:sz="0" w:space="0" w:color="auto"/>
      </w:divBdr>
    </w:div>
    <w:div w:id="92602810">
      <w:bodyDiv w:val="1"/>
      <w:marLeft w:val="0"/>
      <w:marRight w:val="0"/>
      <w:marTop w:val="0"/>
      <w:marBottom w:val="0"/>
      <w:divBdr>
        <w:top w:val="none" w:sz="0" w:space="0" w:color="auto"/>
        <w:left w:val="none" w:sz="0" w:space="0" w:color="auto"/>
        <w:bottom w:val="none" w:sz="0" w:space="0" w:color="auto"/>
        <w:right w:val="none" w:sz="0" w:space="0" w:color="auto"/>
      </w:divBdr>
    </w:div>
    <w:div w:id="198905337">
      <w:bodyDiv w:val="1"/>
      <w:marLeft w:val="0"/>
      <w:marRight w:val="0"/>
      <w:marTop w:val="0"/>
      <w:marBottom w:val="0"/>
      <w:divBdr>
        <w:top w:val="none" w:sz="0" w:space="0" w:color="auto"/>
        <w:left w:val="none" w:sz="0" w:space="0" w:color="auto"/>
        <w:bottom w:val="none" w:sz="0" w:space="0" w:color="auto"/>
        <w:right w:val="none" w:sz="0" w:space="0" w:color="auto"/>
      </w:divBdr>
    </w:div>
    <w:div w:id="257831390">
      <w:bodyDiv w:val="1"/>
      <w:marLeft w:val="0"/>
      <w:marRight w:val="0"/>
      <w:marTop w:val="0"/>
      <w:marBottom w:val="0"/>
      <w:divBdr>
        <w:top w:val="none" w:sz="0" w:space="0" w:color="auto"/>
        <w:left w:val="none" w:sz="0" w:space="0" w:color="auto"/>
        <w:bottom w:val="none" w:sz="0" w:space="0" w:color="auto"/>
        <w:right w:val="none" w:sz="0" w:space="0" w:color="auto"/>
      </w:divBdr>
    </w:div>
    <w:div w:id="444692528">
      <w:bodyDiv w:val="1"/>
      <w:marLeft w:val="0"/>
      <w:marRight w:val="0"/>
      <w:marTop w:val="0"/>
      <w:marBottom w:val="0"/>
      <w:divBdr>
        <w:top w:val="none" w:sz="0" w:space="0" w:color="auto"/>
        <w:left w:val="none" w:sz="0" w:space="0" w:color="auto"/>
        <w:bottom w:val="none" w:sz="0" w:space="0" w:color="auto"/>
        <w:right w:val="none" w:sz="0" w:space="0" w:color="auto"/>
      </w:divBdr>
    </w:div>
    <w:div w:id="451095953">
      <w:bodyDiv w:val="1"/>
      <w:marLeft w:val="0"/>
      <w:marRight w:val="0"/>
      <w:marTop w:val="0"/>
      <w:marBottom w:val="0"/>
      <w:divBdr>
        <w:top w:val="none" w:sz="0" w:space="0" w:color="auto"/>
        <w:left w:val="none" w:sz="0" w:space="0" w:color="auto"/>
        <w:bottom w:val="none" w:sz="0" w:space="0" w:color="auto"/>
        <w:right w:val="none" w:sz="0" w:space="0" w:color="auto"/>
      </w:divBdr>
    </w:div>
    <w:div w:id="676077871">
      <w:bodyDiv w:val="1"/>
      <w:marLeft w:val="0"/>
      <w:marRight w:val="0"/>
      <w:marTop w:val="0"/>
      <w:marBottom w:val="0"/>
      <w:divBdr>
        <w:top w:val="none" w:sz="0" w:space="0" w:color="auto"/>
        <w:left w:val="none" w:sz="0" w:space="0" w:color="auto"/>
        <w:bottom w:val="none" w:sz="0" w:space="0" w:color="auto"/>
        <w:right w:val="none" w:sz="0" w:space="0" w:color="auto"/>
      </w:divBdr>
    </w:div>
    <w:div w:id="787163402">
      <w:bodyDiv w:val="1"/>
      <w:marLeft w:val="0"/>
      <w:marRight w:val="0"/>
      <w:marTop w:val="0"/>
      <w:marBottom w:val="0"/>
      <w:divBdr>
        <w:top w:val="none" w:sz="0" w:space="0" w:color="auto"/>
        <w:left w:val="none" w:sz="0" w:space="0" w:color="auto"/>
        <w:bottom w:val="none" w:sz="0" w:space="0" w:color="auto"/>
        <w:right w:val="none" w:sz="0" w:space="0" w:color="auto"/>
      </w:divBdr>
    </w:div>
    <w:div w:id="861672192">
      <w:bodyDiv w:val="1"/>
      <w:marLeft w:val="0"/>
      <w:marRight w:val="0"/>
      <w:marTop w:val="0"/>
      <w:marBottom w:val="0"/>
      <w:divBdr>
        <w:top w:val="none" w:sz="0" w:space="0" w:color="auto"/>
        <w:left w:val="none" w:sz="0" w:space="0" w:color="auto"/>
        <w:bottom w:val="none" w:sz="0" w:space="0" w:color="auto"/>
        <w:right w:val="none" w:sz="0" w:space="0" w:color="auto"/>
      </w:divBdr>
    </w:div>
    <w:div w:id="868757345">
      <w:bodyDiv w:val="1"/>
      <w:marLeft w:val="0"/>
      <w:marRight w:val="0"/>
      <w:marTop w:val="0"/>
      <w:marBottom w:val="0"/>
      <w:divBdr>
        <w:top w:val="none" w:sz="0" w:space="0" w:color="auto"/>
        <w:left w:val="none" w:sz="0" w:space="0" w:color="auto"/>
        <w:bottom w:val="none" w:sz="0" w:space="0" w:color="auto"/>
        <w:right w:val="none" w:sz="0" w:space="0" w:color="auto"/>
      </w:divBdr>
    </w:div>
    <w:div w:id="883953054">
      <w:bodyDiv w:val="1"/>
      <w:marLeft w:val="0"/>
      <w:marRight w:val="0"/>
      <w:marTop w:val="0"/>
      <w:marBottom w:val="0"/>
      <w:divBdr>
        <w:top w:val="none" w:sz="0" w:space="0" w:color="auto"/>
        <w:left w:val="none" w:sz="0" w:space="0" w:color="auto"/>
        <w:bottom w:val="none" w:sz="0" w:space="0" w:color="auto"/>
        <w:right w:val="none" w:sz="0" w:space="0" w:color="auto"/>
      </w:divBdr>
    </w:div>
    <w:div w:id="888078803">
      <w:bodyDiv w:val="1"/>
      <w:marLeft w:val="0"/>
      <w:marRight w:val="0"/>
      <w:marTop w:val="0"/>
      <w:marBottom w:val="0"/>
      <w:divBdr>
        <w:top w:val="none" w:sz="0" w:space="0" w:color="auto"/>
        <w:left w:val="none" w:sz="0" w:space="0" w:color="auto"/>
        <w:bottom w:val="none" w:sz="0" w:space="0" w:color="auto"/>
        <w:right w:val="none" w:sz="0" w:space="0" w:color="auto"/>
      </w:divBdr>
    </w:div>
    <w:div w:id="892422334">
      <w:bodyDiv w:val="1"/>
      <w:marLeft w:val="0"/>
      <w:marRight w:val="0"/>
      <w:marTop w:val="0"/>
      <w:marBottom w:val="0"/>
      <w:divBdr>
        <w:top w:val="none" w:sz="0" w:space="0" w:color="auto"/>
        <w:left w:val="none" w:sz="0" w:space="0" w:color="auto"/>
        <w:bottom w:val="none" w:sz="0" w:space="0" w:color="auto"/>
        <w:right w:val="none" w:sz="0" w:space="0" w:color="auto"/>
      </w:divBdr>
    </w:div>
    <w:div w:id="930284994">
      <w:bodyDiv w:val="1"/>
      <w:marLeft w:val="0"/>
      <w:marRight w:val="0"/>
      <w:marTop w:val="0"/>
      <w:marBottom w:val="0"/>
      <w:divBdr>
        <w:top w:val="none" w:sz="0" w:space="0" w:color="auto"/>
        <w:left w:val="none" w:sz="0" w:space="0" w:color="auto"/>
        <w:bottom w:val="none" w:sz="0" w:space="0" w:color="auto"/>
        <w:right w:val="none" w:sz="0" w:space="0" w:color="auto"/>
      </w:divBdr>
    </w:div>
    <w:div w:id="966861586">
      <w:bodyDiv w:val="1"/>
      <w:marLeft w:val="0"/>
      <w:marRight w:val="0"/>
      <w:marTop w:val="0"/>
      <w:marBottom w:val="0"/>
      <w:divBdr>
        <w:top w:val="none" w:sz="0" w:space="0" w:color="auto"/>
        <w:left w:val="none" w:sz="0" w:space="0" w:color="auto"/>
        <w:bottom w:val="none" w:sz="0" w:space="0" w:color="auto"/>
        <w:right w:val="none" w:sz="0" w:space="0" w:color="auto"/>
      </w:divBdr>
    </w:div>
    <w:div w:id="998312389">
      <w:bodyDiv w:val="1"/>
      <w:marLeft w:val="0"/>
      <w:marRight w:val="0"/>
      <w:marTop w:val="0"/>
      <w:marBottom w:val="0"/>
      <w:divBdr>
        <w:top w:val="none" w:sz="0" w:space="0" w:color="auto"/>
        <w:left w:val="none" w:sz="0" w:space="0" w:color="auto"/>
        <w:bottom w:val="none" w:sz="0" w:space="0" w:color="auto"/>
        <w:right w:val="none" w:sz="0" w:space="0" w:color="auto"/>
      </w:divBdr>
    </w:div>
    <w:div w:id="1013923934">
      <w:bodyDiv w:val="1"/>
      <w:marLeft w:val="0"/>
      <w:marRight w:val="0"/>
      <w:marTop w:val="0"/>
      <w:marBottom w:val="0"/>
      <w:divBdr>
        <w:top w:val="none" w:sz="0" w:space="0" w:color="auto"/>
        <w:left w:val="none" w:sz="0" w:space="0" w:color="auto"/>
        <w:bottom w:val="none" w:sz="0" w:space="0" w:color="auto"/>
        <w:right w:val="none" w:sz="0" w:space="0" w:color="auto"/>
      </w:divBdr>
    </w:div>
    <w:div w:id="1108768527">
      <w:bodyDiv w:val="1"/>
      <w:marLeft w:val="0"/>
      <w:marRight w:val="0"/>
      <w:marTop w:val="0"/>
      <w:marBottom w:val="0"/>
      <w:divBdr>
        <w:top w:val="none" w:sz="0" w:space="0" w:color="auto"/>
        <w:left w:val="none" w:sz="0" w:space="0" w:color="auto"/>
        <w:bottom w:val="none" w:sz="0" w:space="0" w:color="auto"/>
        <w:right w:val="none" w:sz="0" w:space="0" w:color="auto"/>
      </w:divBdr>
    </w:div>
    <w:div w:id="1181970437">
      <w:bodyDiv w:val="1"/>
      <w:marLeft w:val="0"/>
      <w:marRight w:val="0"/>
      <w:marTop w:val="0"/>
      <w:marBottom w:val="0"/>
      <w:divBdr>
        <w:top w:val="none" w:sz="0" w:space="0" w:color="auto"/>
        <w:left w:val="none" w:sz="0" w:space="0" w:color="auto"/>
        <w:bottom w:val="none" w:sz="0" w:space="0" w:color="auto"/>
        <w:right w:val="none" w:sz="0" w:space="0" w:color="auto"/>
      </w:divBdr>
    </w:div>
    <w:div w:id="1241477375">
      <w:bodyDiv w:val="1"/>
      <w:marLeft w:val="0"/>
      <w:marRight w:val="0"/>
      <w:marTop w:val="0"/>
      <w:marBottom w:val="0"/>
      <w:divBdr>
        <w:top w:val="none" w:sz="0" w:space="0" w:color="auto"/>
        <w:left w:val="none" w:sz="0" w:space="0" w:color="auto"/>
        <w:bottom w:val="none" w:sz="0" w:space="0" w:color="auto"/>
        <w:right w:val="none" w:sz="0" w:space="0" w:color="auto"/>
      </w:divBdr>
    </w:div>
    <w:div w:id="1362434340">
      <w:bodyDiv w:val="1"/>
      <w:marLeft w:val="0"/>
      <w:marRight w:val="0"/>
      <w:marTop w:val="0"/>
      <w:marBottom w:val="0"/>
      <w:divBdr>
        <w:top w:val="none" w:sz="0" w:space="0" w:color="auto"/>
        <w:left w:val="none" w:sz="0" w:space="0" w:color="auto"/>
        <w:bottom w:val="none" w:sz="0" w:space="0" w:color="auto"/>
        <w:right w:val="none" w:sz="0" w:space="0" w:color="auto"/>
      </w:divBdr>
    </w:div>
    <w:div w:id="1384602946">
      <w:bodyDiv w:val="1"/>
      <w:marLeft w:val="0"/>
      <w:marRight w:val="0"/>
      <w:marTop w:val="0"/>
      <w:marBottom w:val="0"/>
      <w:divBdr>
        <w:top w:val="none" w:sz="0" w:space="0" w:color="auto"/>
        <w:left w:val="none" w:sz="0" w:space="0" w:color="auto"/>
        <w:bottom w:val="none" w:sz="0" w:space="0" w:color="auto"/>
        <w:right w:val="none" w:sz="0" w:space="0" w:color="auto"/>
      </w:divBdr>
    </w:div>
    <w:div w:id="1419400700">
      <w:bodyDiv w:val="1"/>
      <w:marLeft w:val="0"/>
      <w:marRight w:val="0"/>
      <w:marTop w:val="0"/>
      <w:marBottom w:val="0"/>
      <w:divBdr>
        <w:top w:val="none" w:sz="0" w:space="0" w:color="auto"/>
        <w:left w:val="none" w:sz="0" w:space="0" w:color="auto"/>
        <w:bottom w:val="none" w:sz="0" w:space="0" w:color="auto"/>
        <w:right w:val="none" w:sz="0" w:space="0" w:color="auto"/>
      </w:divBdr>
    </w:div>
    <w:div w:id="1454472981">
      <w:bodyDiv w:val="1"/>
      <w:marLeft w:val="0"/>
      <w:marRight w:val="0"/>
      <w:marTop w:val="0"/>
      <w:marBottom w:val="0"/>
      <w:divBdr>
        <w:top w:val="none" w:sz="0" w:space="0" w:color="auto"/>
        <w:left w:val="none" w:sz="0" w:space="0" w:color="auto"/>
        <w:bottom w:val="none" w:sz="0" w:space="0" w:color="auto"/>
        <w:right w:val="none" w:sz="0" w:space="0" w:color="auto"/>
      </w:divBdr>
    </w:div>
    <w:div w:id="1460342039">
      <w:bodyDiv w:val="1"/>
      <w:marLeft w:val="0"/>
      <w:marRight w:val="0"/>
      <w:marTop w:val="0"/>
      <w:marBottom w:val="0"/>
      <w:divBdr>
        <w:top w:val="none" w:sz="0" w:space="0" w:color="auto"/>
        <w:left w:val="none" w:sz="0" w:space="0" w:color="auto"/>
        <w:bottom w:val="none" w:sz="0" w:space="0" w:color="auto"/>
        <w:right w:val="none" w:sz="0" w:space="0" w:color="auto"/>
      </w:divBdr>
    </w:div>
    <w:div w:id="1469129114">
      <w:bodyDiv w:val="1"/>
      <w:marLeft w:val="0"/>
      <w:marRight w:val="0"/>
      <w:marTop w:val="0"/>
      <w:marBottom w:val="0"/>
      <w:divBdr>
        <w:top w:val="none" w:sz="0" w:space="0" w:color="auto"/>
        <w:left w:val="none" w:sz="0" w:space="0" w:color="auto"/>
        <w:bottom w:val="none" w:sz="0" w:space="0" w:color="auto"/>
        <w:right w:val="none" w:sz="0" w:space="0" w:color="auto"/>
      </w:divBdr>
    </w:div>
    <w:div w:id="1476676196">
      <w:bodyDiv w:val="1"/>
      <w:marLeft w:val="0"/>
      <w:marRight w:val="0"/>
      <w:marTop w:val="0"/>
      <w:marBottom w:val="0"/>
      <w:divBdr>
        <w:top w:val="none" w:sz="0" w:space="0" w:color="auto"/>
        <w:left w:val="none" w:sz="0" w:space="0" w:color="auto"/>
        <w:bottom w:val="none" w:sz="0" w:space="0" w:color="auto"/>
        <w:right w:val="none" w:sz="0" w:space="0" w:color="auto"/>
      </w:divBdr>
    </w:div>
    <w:div w:id="1537081591">
      <w:bodyDiv w:val="1"/>
      <w:marLeft w:val="0"/>
      <w:marRight w:val="0"/>
      <w:marTop w:val="0"/>
      <w:marBottom w:val="0"/>
      <w:divBdr>
        <w:top w:val="none" w:sz="0" w:space="0" w:color="auto"/>
        <w:left w:val="none" w:sz="0" w:space="0" w:color="auto"/>
        <w:bottom w:val="none" w:sz="0" w:space="0" w:color="auto"/>
        <w:right w:val="none" w:sz="0" w:space="0" w:color="auto"/>
      </w:divBdr>
    </w:div>
    <w:div w:id="1544564368">
      <w:bodyDiv w:val="1"/>
      <w:marLeft w:val="0"/>
      <w:marRight w:val="0"/>
      <w:marTop w:val="0"/>
      <w:marBottom w:val="0"/>
      <w:divBdr>
        <w:top w:val="none" w:sz="0" w:space="0" w:color="auto"/>
        <w:left w:val="none" w:sz="0" w:space="0" w:color="auto"/>
        <w:bottom w:val="none" w:sz="0" w:space="0" w:color="auto"/>
        <w:right w:val="none" w:sz="0" w:space="0" w:color="auto"/>
      </w:divBdr>
    </w:div>
    <w:div w:id="1645427345">
      <w:bodyDiv w:val="1"/>
      <w:marLeft w:val="0"/>
      <w:marRight w:val="0"/>
      <w:marTop w:val="0"/>
      <w:marBottom w:val="0"/>
      <w:divBdr>
        <w:top w:val="none" w:sz="0" w:space="0" w:color="auto"/>
        <w:left w:val="none" w:sz="0" w:space="0" w:color="auto"/>
        <w:bottom w:val="none" w:sz="0" w:space="0" w:color="auto"/>
        <w:right w:val="none" w:sz="0" w:space="0" w:color="auto"/>
      </w:divBdr>
    </w:div>
    <w:div w:id="1694958752">
      <w:bodyDiv w:val="1"/>
      <w:marLeft w:val="0"/>
      <w:marRight w:val="0"/>
      <w:marTop w:val="0"/>
      <w:marBottom w:val="0"/>
      <w:divBdr>
        <w:top w:val="none" w:sz="0" w:space="0" w:color="auto"/>
        <w:left w:val="none" w:sz="0" w:space="0" w:color="auto"/>
        <w:bottom w:val="none" w:sz="0" w:space="0" w:color="auto"/>
        <w:right w:val="none" w:sz="0" w:space="0" w:color="auto"/>
      </w:divBdr>
    </w:div>
    <w:div w:id="1721397746">
      <w:bodyDiv w:val="1"/>
      <w:marLeft w:val="0"/>
      <w:marRight w:val="0"/>
      <w:marTop w:val="0"/>
      <w:marBottom w:val="0"/>
      <w:divBdr>
        <w:top w:val="none" w:sz="0" w:space="0" w:color="auto"/>
        <w:left w:val="none" w:sz="0" w:space="0" w:color="auto"/>
        <w:bottom w:val="none" w:sz="0" w:space="0" w:color="auto"/>
        <w:right w:val="none" w:sz="0" w:space="0" w:color="auto"/>
      </w:divBdr>
    </w:div>
    <w:div w:id="1724283199">
      <w:bodyDiv w:val="1"/>
      <w:marLeft w:val="0"/>
      <w:marRight w:val="0"/>
      <w:marTop w:val="0"/>
      <w:marBottom w:val="0"/>
      <w:divBdr>
        <w:top w:val="none" w:sz="0" w:space="0" w:color="auto"/>
        <w:left w:val="none" w:sz="0" w:space="0" w:color="auto"/>
        <w:bottom w:val="none" w:sz="0" w:space="0" w:color="auto"/>
        <w:right w:val="none" w:sz="0" w:space="0" w:color="auto"/>
      </w:divBdr>
    </w:div>
    <w:div w:id="1759061531">
      <w:bodyDiv w:val="1"/>
      <w:marLeft w:val="0"/>
      <w:marRight w:val="0"/>
      <w:marTop w:val="0"/>
      <w:marBottom w:val="0"/>
      <w:divBdr>
        <w:top w:val="none" w:sz="0" w:space="0" w:color="auto"/>
        <w:left w:val="none" w:sz="0" w:space="0" w:color="auto"/>
        <w:bottom w:val="none" w:sz="0" w:space="0" w:color="auto"/>
        <w:right w:val="none" w:sz="0" w:space="0" w:color="auto"/>
      </w:divBdr>
    </w:div>
    <w:div w:id="1907758764">
      <w:bodyDiv w:val="1"/>
      <w:marLeft w:val="0"/>
      <w:marRight w:val="0"/>
      <w:marTop w:val="0"/>
      <w:marBottom w:val="0"/>
      <w:divBdr>
        <w:top w:val="none" w:sz="0" w:space="0" w:color="auto"/>
        <w:left w:val="none" w:sz="0" w:space="0" w:color="auto"/>
        <w:bottom w:val="none" w:sz="0" w:space="0" w:color="auto"/>
        <w:right w:val="none" w:sz="0" w:space="0" w:color="auto"/>
      </w:divBdr>
    </w:div>
    <w:div w:id="1964462978">
      <w:bodyDiv w:val="1"/>
      <w:marLeft w:val="0"/>
      <w:marRight w:val="0"/>
      <w:marTop w:val="0"/>
      <w:marBottom w:val="0"/>
      <w:divBdr>
        <w:top w:val="none" w:sz="0" w:space="0" w:color="auto"/>
        <w:left w:val="none" w:sz="0" w:space="0" w:color="auto"/>
        <w:bottom w:val="none" w:sz="0" w:space="0" w:color="auto"/>
        <w:right w:val="none" w:sz="0" w:space="0" w:color="auto"/>
      </w:divBdr>
    </w:div>
    <w:div w:id="206444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1210</Words>
  <Characters>6902</Characters>
  <Application>Microsoft Office Word</Application>
  <DocSecurity>0</DocSecurity>
  <Lines>57</Lines>
  <Paragraphs>16</Paragraphs>
  <ScaleCrop>false</ScaleCrop>
  <Company>Microsoft</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王涛涛</dc:creator>
  <cp:lastModifiedBy>¤坚雄</cp:lastModifiedBy>
  <cp:revision>40</cp:revision>
  <cp:lastPrinted>2016-06-06T08:27:00Z</cp:lastPrinted>
  <dcterms:created xsi:type="dcterms:W3CDTF">2016-04-26T02:50:00Z</dcterms:created>
  <dcterms:modified xsi:type="dcterms:W3CDTF">2016-06-12T00:39:00Z</dcterms:modified>
</cp:coreProperties>
</file>