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9"/>
        <w:gridCol w:w="664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8"/>
                <w:szCs w:val="28"/>
                <w:lang w:val="en-US" w:eastAsia="zh-CN"/>
              </w:rPr>
              <w:t>产品设计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74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培养目标能够反映艺术类专业特征，有较明确的领域方向。毕业要求中第2、第3点重复，第4点与第5点有重复的地方。另外，对于非师范专业，毕业要求中提到“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自觉贯彻教育方针，执行教育法规和方针政策，热爱美术教育事业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”有些不着调。总体上，毕业要求偏笼统，对培养目标指出的领域方向针对性不强。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”需要梳理、完善。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1）总体上，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全面反映人才培养目标内涵；指标点应全面覆盖毕业要求。应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注意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逻辑性和递进性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，避免毕业要求之间、指标点之间内涵的重复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避免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之间的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剥离。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2）该专业“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培养目标（标准）、毕业要求与课程体系关系表”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中的“培养目标”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“毕业要求”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栏的内容，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应该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分别与“一、专业培养目标”和“二、毕业要求”的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10条相一致，关系表的毕业要求应该是10条而不是2条。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要将培养方案中每一门课程（含实践环节）列入关系表中，体现每一门课程对培养目标、毕业要求的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支撑和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贡献度。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如果不列全，也就意味着有些课程是不支撑毕业要求和培养目标的。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关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系表中所列课程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全面支撑指标点内涵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同一门课程可以支撑多个指标点和毕业要求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建议将关系表进一步梳理、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/>
              </w:rPr>
              <w:t>完善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专业核心课程设置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不太合理：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文创、家具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两个专业方向课程，不宜纳入专业核心课程；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（2）工业设计专业英语，不是该专业的核心课程，可放入通识教育拓展课外语拓展课模块，1.5学分24学时；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（3）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中国工艺美术史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，不应该纳入专业拓展课，对照教育部规定的专业核心课程，建议开具“中外工艺美术史”，纳入核心课，以便与培养国际视野的人才培养总目标相呼应。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4）核心课的学分比列过高，按照学校要求设置学分。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学科专业拓展课对社会和行业需求新变化的反映不足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，整体设置略显陈旧。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建议课程设置中加强相关产品领域的针对性工艺课程，因为工艺知识和技能是饰品、文创、家具类产品设计的核心基础。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专业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拓展课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  <w:t>学分过少，提供的课程数量过少，与学分制改革精神不符。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/>
              </w:rPr>
              <w:t>应适当增加学分和课程数量，满足学生选课需求。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产品设计的专业实践设置不合理。与环境设计、服装服饰设计、视觉传达设计、美术学专业完全雷同。若可以雷同，建议取消专业，或将几个专业合并一个专业即可。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应严格按照教育部本科专业目录和专业介绍（2012版）要求，开设相关核心课程的课程设计、课程实习等。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建议毕业设计的开题放在毕业实习之前，在实习中教师和学生可以有指向性。否则，仅仅8周的毕业设计和毕业论文时间不足。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方向课和学科专业拓展课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考核方式为考查，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不合适，要求过松。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建议修改，并在教学执行中增加具体考核评分方式。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不能将“毕业展览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等同于学校要求的“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专业创新创业综合实践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”,应根据各专业实际，结合《广东海洋大学本科生创新创业实践学分认定管理办法》(校教务〔2017〕101号)，设置独立的“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专业创新创业综合实践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”实践课程，并制订具体实施细则。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能否设置相关涉海课程，凸显该专业的海洋特色，更好地支撑学校海洋人才培养的总体目标。建议结合专业开设创新创业课程，培养学生创新创业意识和素质。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6B86671"/>
    <w:rsid w:val="07533E9D"/>
    <w:rsid w:val="07ED2627"/>
    <w:rsid w:val="0AE47EBC"/>
    <w:rsid w:val="0C1B4C2C"/>
    <w:rsid w:val="0C245C9C"/>
    <w:rsid w:val="0C470571"/>
    <w:rsid w:val="0E6E385D"/>
    <w:rsid w:val="0EA86D90"/>
    <w:rsid w:val="102C0A0F"/>
    <w:rsid w:val="117201E8"/>
    <w:rsid w:val="117E3F4D"/>
    <w:rsid w:val="119909E7"/>
    <w:rsid w:val="12DB5170"/>
    <w:rsid w:val="13DE25C2"/>
    <w:rsid w:val="16C47058"/>
    <w:rsid w:val="17830759"/>
    <w:rsid w:val="1AE61066"/>
    <w:rsid w:val="1BDB6B4F"/>
    <w:rsid w:val="204E2E4D"/>
    <w:rsid w:val="224668AD"/>
    <w:rsid w:val="22A56461"/>
    <w:rsid w:val="2381059F"/>
    <w:rsid w:val="23C55634"/>
    <w:rsid w:val="26E14A51"/>
    <w:rsid w:val="286315C3"/>
    <w:rsid w:val="28A97586"/>
    <w:rsid w:val="2BB96F1F"/>
    <w:rsid w:val="2BE447B2"/>
    <w:rsid w:val="2EF53201"/>
    <w:rsid w:val="2EFC1D06"/>
    <w:rsid w:val="2FA40A26"/>
    <w:rsid w:val="32CF4094"/>
    <w:rsid w:val="32FB561D"/>
    <w:rsid w:val="339F1CCA"/>
    <w:rsid w:val="33A81B5C"/>
    <w:rsid w:val="3A13386D"/>
    <w:rsid w:val="3B78074F"/>
    <w:rsid w:val="3FC10002"/>
    <w:rsid w:val="40362E40"/>
    <w:rsid w:val="405C2FAB"/>
    <w:rsid w:val="41FC6CE1"/>
    <w:rsid w:val="4200142C"/>
    <w:rsid w:val="44547735"/>
    <w:rsid w:val="45351B7E"/>
    <w:rsid w:val="466E4269"/>
    <w:rsid w:val="467961A3"/>
    <w:rsid w:val="47CE0469"/>
    <w:rsid w:val="4D8F6D71"/>
    <w:rsid w:val="50684398"/>
    <w:rsid w:val="51FE4AD9"/>
    <w:rsid w:val="525A3A6F"/>
    <w:rsid w:val="52963093"/>
    <w:rsid w:val="537A24F9"/>
    <w:rsid w:val="57A530DF"/>
    <w:rsid w:val="581919D7"/>
    <w:rsid w:val="590B752E"/>
    <w:rsid w:val="5A8A533A"/>
    <w:rsid w:val="5C3E6532"/>
    <w:rsid w:val="607654DC"/>
    <w:rsid w:val="630A4728"/>
    <w:rsid w:val="68796044"/>
    <w:rsid w:val="6AEB4794"/>
    <w:rsid w:val="6B1F12DC"/>
    <w:rsid w:val="6E517661"/>
    <w:rsid w:val="712850BB"/>
    <w:rsid w:val="72552A18"/>
    <w:rsid w:val="7560229C"/>
    <w:rsid w:val="75E12EAE"/>
    <w:rsid w:val="76413CF9"/>
    <w:rsid w:val="7790026F"/>
    <w:rsid w:val="77997E4F"/>
    <w:rsid w:val="77C27E57"/>
    <w:rsid w:val="7A221B81"/>
    <w:rsid w:val="7C4F0886"/>
    <w:rsid w:val="7C9F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2017-12-26T00:55:49Z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