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14117" w:type="dxa"/>
        <w:tblInd w:w="0"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
      <w:tblGrid>
        <w:gridCol w:w="7469"/>
        <w:gridCol w:w="6648"/>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495" w:hRule="atLeast"/>
          <w:tblHeader/>
        </w:trPr>
        <w:tc>
          <w:tcPr>
            <w:tcW w:w="14117" w:type="dxa"/>
            <w:gridSpan w:val="2"/>
            <w:tcBorders>
              <w:top w:val="nil"/>
              <w:left w:val="nil"/>
              <w:bottom w:val="single" w:color="000000" w:sz="4" w:space="0"/>
              <w:right w:val="nil"/>
            </w:tcBorders>
            <w:vAlign w:val="center"/>
          </w:tcPr>
          <w:p>
            <w:r>
              <w:rPr>
                <w:rFonts w:hint="eastAsia"/>
              </w:rPr>
              <w:t>附件</w:t>
            </w:r>
            <w:r>
              <w:t>1</w:t>
            </w:r>
          </w:p>
          <w:p>
            <w:pPr>
              <w:spacing w:line="360" w:lineRule="exact"/>
              <w:jc w:val="center"/>
              <w:rPr>
                <w:rFonts w:ascii="Times New Roman" w:hAnsi="Times New Roman"/>
                <w:bCs/>
                <w:sz w:val="24"/>
              </w:rPr>
            </w:pPr>
            <w:r>
              <w:rPr>
                <w:rFonts w:hint="eastAsia" w:ascii="Times New Roman" w:hAnsi="Times New Roman"/>
                <w:b/>
                <w:bCs w:val="0"/>
                <w:sz w:val="28"/>
                <w:szCs w:val="28"/>
                <w:lang w:val="en-US" w:eastAsia="zh-CN"/>
              </w:rPr>
              <w:t>视觉传达设计</w:t>
            </w:r>
            <w:r>
              <w:rPr>
                <w:rFonts w:hint="eastAsia" w:ascii="Times New Roman" w:hAnsi="Times New Roman"/>
                <w:bCs/>
                <w:sz w:val="24"/>
              </w:rPr>
              <w:t>专业</w:t>
            </w:r>
            <w:r>
              <w:rPr>
                <w:rFonts w:ascii="Times New Roman" w:hAnsi="Times New Roman"/>
                <w:bCs/>
                <w:sz w:val="24"/>
              </w:rPr>
              <w:t>2017</w:t>
            </w:r>
            <w:r>
              <w:rPr>
                <w:rFonts w:hint="eastAsia" w:ascii="Times New Roman" w:hAnsi="Times New Roman"/>
                <w:bCs/>
                <w:sz w:val="24"/>
              </w:rPr>
              <w:t>版</w:t>
            </w:r>
            <w:r>
              <w:rPr>
                <w:rFonts w:hint="eastAsia" w:ascii="Times New Roman" w:hAnsi="Times New Roman"/>
                <w:bCs/>
                <w:sz w:val="24"/>
                <w:lang w:eastAsia="zh-CN"/>
              </w:rPr>
              <w:t>学分制</w:t>
            </w:r>
            <w:r>
              <w:rPr>
                <w:rFonts w:hint="eastAsia" w:ascii="Times New Roman" w:hAnsi="Times New Roman"/>
                <w:bCs/>
                <w:sz w:val="24"/>
              </w:rPr>
              <w:t>培养方案专家评审意见及</w:t>
            </w:r>
            <w:r>
              <w:rPr>
                <w:rFonts w:hint="eastAsia" w:ascii="Times New Roman" w:hAnsi="Times New Roman"/>
                <w:bCs/>
                <w:sz w:val="24"/>
                <w:lang w:eastAsia="zh-CN"/>
              </w:rPr>
              <w:t>专业</w:t>
            </w:r>
            <w:r>
              <w:rPr>
                <w:rFonts w:hint="eastAsia" w:ascii="Times New Roman" w:hAnsi="Times New Roman"/>
                <w:bCs/>
                <w:sz w:val="24"/>
              </w:rPr>
              <w:t>修改完善自查情况表</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391" w:hRule="atLeast"/>
          <w:tblHeader/>
        </w:trPr>
        <w:tc>
          <w:tcPr>
            <w:tcW w:w="7469" w:type="dxa"/>
            <w:tcBorders>
              <w:top w:val="single" w:color="000000" w:sz="4" w:space="0"/>
              <w:left w:val="single" w:color="000000" w:sz="4" w:space="0"/>
              <w:bottom w:val="single" w:color="auto" w:sz="4" w:space="0"/>
              <w:right w:val="single" w:color="auto" w:sz="4" w:space="0"/>
            </w:tcBorders>
          </w:tcPr>
          <w:p>
            <w:pPr>
              <w:spacing w:line="460" w:lineRule="exact"/>
              <w:jc w:val="center"/>
              <w:rPr>
                <w:rFonts w:ascii="Times New Roman" w:hAnsi="Times New Roman" w:eastAsia="黑体"/>
                <w:bCs/>
                <w:sz w:val="24"/>
              </w:rPr>
            </w:pPr>
            <w:r>
              <w:rPr>
                <w:rFonts w:hint="eastAsia" w:ascii="Times New Roman" w:hAnsi="Times New Roman" w:eastAsia="黑体"/>
                <w:bCs/>
                <w:sz w:val="24"/>
              </w:rPr>
              <w:t>评审意见</w:t>
            </w:r>
          </w:p>
        </w:tc>
        <w:tc>
          <w:tcPr>
            <w:tcW w:w="6648" w:type="dxa"/>
            <w:tcBorders>
              <w:top w:val="single" w:color="000000" w:sz="4" w:space="0"/>
              <w:left w:val="single" w:color="auto" w:sz="4" w:space="0"/>
              <w:bottom w:val="single" w:color="auto" w:sz="4" w:space="0"/>
              <w:right w:val="single" w:color="000000" w:sz="4" w:space="0"/>
            </w:tcBorders>
          </w:tcPr>
          <w:p>
            <w:pPr>
              <w:spacing w:line="460" w:lineRule="exact"/>
              <w:jc w:val="center"/>
              <w:rPr>
                <w:rFonts w:ascii="Times New Roman" w:hAnsi="Times New Roman" w:eastAsia="黑体"/>
                <w:bCs/>
                <w:sz w:val="24"/>
              </w:rPr>
            </w:pPr>
            <w:r>
              <w:rPr>
                <w:rFonts w:hint="eastAsia" w:ascii="Times New Roman" w:hAnsi="Times New Roman" w:eastAsia="黑体"/>
                <w:bCs/>
                <w:sz w:val="24"/>
              </w:rPr>
              <w:t>修改完善的具体措施</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74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1.</w:t>
            </w:r>
            <w:r>
              <w:rPr>
                <w:rFonts w:hint="eastAsia" w:ascii="宋体" w:hAnsi="宋体" w:eastAsia="宋体" w:cs="宋体"/>
                <w:b w:val="0"/>
                <w:bCs w:val="0"/>
                <w:sz w:val="24"/>
              </w:rPr>
              <w:t>第二页表格中“培养目标”一栏“本专业学生主要学习通过在校学习掌握产品设计的基础理论及设计方法，针对家具设计、文化衍生产品设计，具有应用造型设计原理和法则处理各种产品的造型与色彩、形式与外观、结构与材料、外形与工艺、产品与人、产品与环境、产品与市场的关系，并将这些关系表现在产品设计创新上的基本能力。”</w:t>
            </w:r>
            <w:r>
              <w:rPr>
                <w:rFonts w:hint="eastAsia" w:ascii="宋体" w:hAnsi="宋体" w:eastAsia="宋体" w:cs="宋体"/>
                <w:b w:val="0"/>
                <w:bCs w:val="0"/>
                <w:sz w:val="24"/>
                <w:lang w:eastAsia="zh-CN"/>
              </w:rPr>
              <w:t>应该不</w:t>
            </w:r>
            <w:r>
              <w:rPr>
                <w:rFonts w:hint="eastAsia" w:ascii="宋体" w:hAnsi="宋体" w:eastAsia="宋体" w:cs="宋体"/>
                <w:b w:val="0"/>
                <w:bCs w:val="0"/>
                <w:sz w:val="24"/>
              </w:rPr>
              <w:t>是环境设计专业目标</w:t>
            </w:r>
            <w:r>
              <w:rPr>
                <w:rFonts w:hint="eastAsia" w:ascii="宋体" w:hAnsi="宋体" w:eastAsia="宋体" w:cs="宋体"/>
                <w:b w:val="0"/>
                <w:bCs w:val="0"/>
                <w:sz w:val="24"/>
                <w:lang w:eastAsia="zh-CN"/>
              </w:rPr>
              <w:t>，请认真校对。</w:t>
            </w:r>
          </w:p>
        </w:tc>
        <w:tc>
          <w:tcPr>
            <w:tcW w:w="6648" w:type="dxa"/>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宋体" w:hAnsi="宋体"/>
                <w:kern w:val="0"/>
                <w:szCs w:val="21"/>
                <w:lang w:eastAsia="zh-CN"/>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74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0" w:firstLineChars="0"/>
              <w:jc w:val="both"/>
              <w:textAlignment w:val="auto"/>
              <w:rPr>
                <w:rFonts w:hint="eastAsia" w:ascii="宋体" w:hAnsi="宋体" w:eastAsia="宋体" w:cs="宋体"/>
                <w:sz w:val="24"/>
                <w:szCs w:val="24"/>
              </w:rPr>
            </w:pPr>
            <w:r>
              <w:rPr>
                <w:rFonts w:hint="eastAsia" w:ascii="宋体" w:hAnsi="宋体" w:cs="宋体"/>
                <w:b/>
                <w:bCs/>
                <w:sz w:val="24"/>
                <w:szCs w:val="24"/>
                <w:lang w:val="en-US" w:eastAsia="zh-CN"/>
              </w:rPr>
              <w:t>2.</w:t>
            </w:r>
            <w:r>
              <w:rPr>
                <w:rFonts w:hint="eastAsia" w:ascii="宋体" w:hAnsi="宋体" w:eastAsia="宋体" w:cs="宋体"/>
                <w:b/>
                <w:bCs/>
                <w:sz w:val="24"/>
                <w:szCs w:val="24"/>
                <w:lang w:val="en-US" w:eastAsia="zh-CN"/>
              </w:rPr>
              <w:t>“</w:t>
            </w:r>
            <w:r>
              <w:rPr>
                <w:rFonts w:hint="eastAsia"/>
                <w:b/>
                <w:bCs/>
                <w:color w:val="000000"/>
                <w:kern w:val="2"/>
                <w:sz w:val="24"/>
                <w:szCs w:val="24"/>
              </w:rPr>
              <w:t>培养目标（标准）、毕业要求与课程体系关系表</w:t>
            </w:r>
            <w:r>
              <w:rPr>
                <w:rFonts w:hint="eastAsia"/>
                <w:b/>
                <w:bCs/>
                <w:color w:val="000000"/>
                <w:kern w:val="2"/>
                <w:sz w:val="24"/>
                <w:szCs w:val="24"/>
                <w:lang w:eastAsia="zh-CN"/>
              </w:rPr>
              <w:t>”需要梳理、完善。</w:t>
            </w:r>
            <w:r>
              <w:rPr>
                <w:rFonts w:hint="eastAsia"/>
                <w:b w:val="0"/>
                <w:bCs w:val="0"/>
                <w:color w:val="000000"/>
                <w:kern w:val="2"/>
                <w:sz w:val="24"/>
                <w:szCs w:val="24"/>
                <w:lang w:eastAsia="zh-CN"/>
              </w:rPr>
              <w:t>（</w:t>
            </w:r>
            <w:r>
              <w:rPr>
                <w:rFonts w:hint="eastAsia"/>
                <w:b w:val="0"/>
                <w:bCs w:val="0"/>
                <w:color w:val="000000"/>
                <w:kern w:val="2"/>
                <w:sz w:val="24"/>
                <w:szCs w:val="24"/>
                <w:lang w:val="en-US" w:eastAsia="zh-CN"/>
              </w:rPr>
              <w:t>1）总体上，</w:t>
            </w:r>
            <w:r>
              <w:rPr>
                <w:rFonts w:hint="eastAsia" w:ascii="宋体" w:hAnsi="宋体" w:eastAsia="宋体" w:cs="宋体"/>
                <w:sz w:val="24"/>
                <w:szCs w:val="24"/>
              </w:rPr>
              <w:t>毕业要求</w:t>
            </w:r>
            <w:r>
              <w:rPr>
                <w:rFonts w:hint="eastAsia" w:ascii="宋体" w:hAnsi="宋体" w:eastAsia="宋体" w:cs="宋体"/>
                <w:sz w:val="24"/>
                <w:szCs w:val="24"/>
                <w:lang w:eastAsia="zh-CN"/>
              </w:rPr>
              <w:t>要</w:t>
            </w:r>
            <w:r>
              <w:rPr>
                <w:rFonts w:hint="eastAsia" w:ascii="宋体" w:hAnsi="宋体" w:eastAsia="宋体" w:cs="宋体"/>
                <w:sz w:val="24"/>
                <w:szCs w:val="24"/>
              </w:rPr>
              <w:t>充分体现专业核心内容</w:t>
            </w:r>
            <w:r>
              <w:rPr>
                <w:rFonts w:hint="eastAsia" w:ascii="宋体" w:hAnsi="宋体" w:eastAsia="宋体" w:cs="宋体"/>
                <w:sz w:val="24"/>
                <w:szCs w:val="24"/>
                <w:lang w:eastAsia="zh-CN"/>
              </w:rPr>
              <w:t>，</w:t>
            </w:r>
            <w:r>
              <w:rPr>
                <w:rFonts w:hint="eastAsia" w:ascii="宋体" w:hAnsi="宋体" w:cs="宋体"/>
                <w:sz w:val="24"/>
                <w:szCs w:val="24"/>
                <w:lang w:eastAsia="zh-CN"/>
              </w:rPr>
              <w:t>全面反映人才培养目标内涵；指标点应全面覆盖毕业要求。应</w:t>
            </w:r>
            <w:r>
              <w:rPr>
                <w:rFonts w:hint="eastAsia" w:ascii="宋体" w:hAnsi="宋体" w:eastAsia="宋体" w:cs="宋体"/>
                <w:sz w:val="24"/>
                <w:szCs w:val="24"/>
                <w:lang w:eastAsia="zh-CN"/>
              </w:rPr>
              <w:t>注意</w:t>
            </w:r>
            <w:r>
              <w:rPr>
                <w:rFonts w:hint="eastAsia" w:ascii="宋体" w:hAnsi="宋体" w:eastAsia="宋体" w:cs="宋体"/>
                <w:sz w:val="24"/>
                <w:szCs w:val="24"/>
              </w:rPr>
              <w:t>逻辑性和递进性</w:t>
            </w:r>
            <w:r>
              <w:rPr>
                <w:rFonts w:hint="eastAsia" w:ascii="宋体" w:hAnsi="宋体" w:eastAsia="宋体" w:cs="宋体"/>
                <w:sz w:val="24"/>
                <w:szCs w:val="24"/>
                <w:lang w:eastAsia="zh-CN"/>
              </w:rPr>
              <w:t>，避免毕业要求之间、指标点之间内涵的重复</w:t>
            </w:r>
            <w:r>
              <w:rPr>
                <w:rFonts w:hint="eastAsia" w:ascii="宋体" w:hAnsi="宋体" w:cs="宋体"/>
                <w:sz w:val="24"/>
                <w:szCs w:val="24"/>
                <w:lang w:val="en-US" w:eastAsia="zh-CN"/>
              </w:rPr>
              <w:t>,</w:t>
            </w:r>
            <w:r>
              <w:rPr>
                <w:rFonts w:hint="eastAsia" w:ascii="宋体" w:hAnsi="宋体" w:eastAsia="宋体" w:cs="宋体"/>
                <w:sz w:val="24"/>
                <w:szCs w:val="24"/>
                <w:lang w:eastAsia="zh-CN"/>
              </w:rPr>
              <w:t>避免</w:t>
            </w:r>
            <w:r>
              <w:rPr>
                <w:rFonts w:hint="eastAsia" w:ascii="宋体" w:hAnsi="宋体" w:eastAsia="宋体" w:cs="宋体"/>
                <w:sz w:val="24"/>
                <w:szCs w:val="24"/>
              </w:rPr>
              <w:t>毕业要求</w:t>
            </w:r>
            <w:r>
              <w:rPr>
                <w:rFonts w:hint="eastAsia" w:ascii="宋体" w:hAnsi="宋体" w:eastAsia="宋体" w:cs="宋体"/>
                <w:sz w:val="24"/>
                <w:szCs w:val="24"/>
                <w:lang w:eastAsia="zh-CN"/>
              </w:rPr>
              <w:t>与</w:t>
            </w:r>
            <w:r>
              <w:rPr>
                <w:rFonts w:hint="eastAsia" w:ascii="宋体" w:hAnsi="宋体" w:eastAsia="宋体" w:cs="宋体"/>
                <w:sz w:val="24"/>
                <w:szCs w:val="24"/>
              </w:rPr>
              <w:t>课程设置</w:t>
            </w:r>
            <w:r>
              <w:rPr>
                <w:rFonts w:hint="eastAsia" w:ascii="宋体" w:hAnsi="宋体" w:eastAsia="宋体" w:cs="宋体"/>
                <w:sz w:val="24"/>
                <w:szCs w:val="24"/>
                <w:lang w:eastAsia="zh-CN"/>
              </w:rPr>
              <w:t>之间的</w:t>
            </w:r>
            <w:r>
              <w:rPr>
                <w:rFonts w:hint="eastAsia" w:ascii="宋体" w:hAnsi="宋体" w:eastAsia="宋体" w:cs="宋体"/>
                <w:sz w:val="24"/>
                <w:szCs w:val="24"/>
              </w:rPr>
              <w:t>剥离。</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0" w:firstLineChars="0"/>
              <w:jc w:val="both"/>
              <w:textAlignment w:val="auto"/>
              <w:rPr>
                <w:rFonts w:hint="eastAsia" w:ascii="宋体" w:hAnsi="宋体"/>
                <w:sz w:val="24"/>
                <w:lang w:val="en-US" w:eastAsia="zh-CN"/>
              </w:rPr>
            </w:pP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培养目标（标准）、毕业要求与课程体系关系表”</w:t>
            </w:r>
            <w:r>
              <w:rPr>
                <w:rFonts w:hint="eastAsia" w:asciiTheme="minorEastAsia" w:hAnsiTheme="minorEastAsia" w:eastAsiaTheme="minorEastAsia" w:cstheme="minorEastAsia"/>
                <w:sz w:val="24"/>
                <w:szCs w:val="24"/>
                <w:lang w:eastAsia="zh-CN"/>
              </w:rPr>
              <w:t>中的</w:t>
            </w:r>
            <w:r>
              <w:rPr>
                <w:rFonts w:hint="eastAsia" w:asciiTheme="minorEastAsia" w:hAnsiTheme="minorEastAsia" w:eastAsiaTheme="minorEastAsia" w:cstheme="minorEastAsia"/>
                <w:color w:val="000000"/>
                <w:sz w:val="24"/>
                <w:szCs w:val="24"/>
              </w:rPr>
              <w:t>“毕业要求”</w:t>
            </w:r>
            <w:r>
              <w:rPr>
                <w:rFonts w:hint="eastAsia" w:asciiTheme="minorEastAsia" w:hAnsiTheme="minorEastAsia" w:eastAsiaTheme="minorEastAsia" w:cstheme="minorEastAsia"/>
                <w:color w:val="000000"/>
                <w:sz w:val="24"/>
                <w:szCs w:val="24"/>
                <w:lang w:eastAsia="zh-CN"/>
              </w:rPr>
              <w:t>，</w:t>
            </w:r>
            <w:r>
              <w:rPr>
                <w:rFonts w:hint="eastAsia" w:asciiTheme="minorEastAsia" w:hAnsiTheme="minorEastAsia" w:eastAsiaTheme="minorEastAsia" w:cstheme="minorEastAsia"/>
                <w:color w:val="000000"/>
                <w:sz w:val="24"/>
                <w:szCs w:val="24"/>
              </w:rPr>
              <w:t>应该对应</w:t>
            </w:r>
            <w:r>
              <w:rPr>
                <w:rFonts w:hint="eastAsia" w:asciiTheme="minorEastAsia" w:hAnsiTheme="minorEastAsia" w:eastAsiaTheme="minorEastAsia" w:cstheme="minorEastAsia"/>
                <w:color w:val="000000"/>
                <w:sz w:val="24"/>
                <w:szCs w:val="24"/>
                <w:lang w:eastAsia="zh-CN"/>
              </w:rPr>
              <w:t>第二部分“二、毕业要求”的</w:t>
            </w:r>
            <w:r>
              <w:rPr>
                <w:rFonts w:hint="eastAsia" w:asciiTheme="minorEastAsia" w:hAnsiTheme="minorEastAsia" w:eastAsiaTheme="minorEastAsia" w:cstheme="minorEastAsia"/>
                <w:color w:val="000000"/>
                <w:sz w:val="24"/>
                <w:szCs w:val="24"/>
                <w:lang w:val="en-US" w:eastAsia="zh-CN"/>
              </w:rPr>
              <w:t>10条，而不是2条。</w:t>
            </w:r>
            <w:r>
              <w:rPr>
                <w:rFonts w:hint="eastAsia" w:ascii="宋体" w:hAnsi="宋体"/>
                <w:sz w:val="24"/>
                <w:lang w:val="en-US" w:eastAsia="zh-CN"/>
              </w:rPr>
              <w:t>“关系表”中的毕业要求应与“二、毕业要求”的一致；</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0" w:firstLineChars="0"/>
              <w:jc w:val="both"/>
              <w:textAlignment w:val="auto"/>
              <w:rPr>
                <w:rFonts w:hint="eastAsia" w:ascii="宋体" w:hAnsi="宋体" w:eastAsia="宋体" w:cs="宋体"/>
                <w:b w:val="0"/>
                <w:bCs/>
                <w:color w:val="000000"/>
                <w:sz w:val="24"/>
                <w:szCs w:val="24"/>
                <w:lang w:eastAsia="zh-CN"/>
              </w:rPr>
            </w:pPr>
            <w:r>
              <w:rPr>
                <w:rFonts w:hint="eastAsia" w:ascii="宋体" w:hAnsi="宋体" w:eastAsia="宋体" w:cs="宋体"/>
                <w:sz w:val="24"/>
                <w:szCs w:val="24"/>
                <w:lang w:eastAsia="zh-CN"/>
              </w:rPr>
              <w:t>（</w:t>
            </w:r>
            <w:r>
              <w:rPr>
                <w:rFonts w:hint="eastAsia" w:ascii="宋体" w:hAnsi="宋体" w:cs="宋体"/>
                <w:sz w:val="24"/>
                <w:szCs w:val="24"/>
                <w:lang w:val="en-US" w:eastAsia="zh-CN"/>
              </w:rPr>
              <w:t>3</w:t>
            </w:r>
            <w:r>
              <w:rPr>
                <w:rFonts w:hint="eastAsia" w:ascii="宋体" w:hAnsi="宋体" w:eastAsia="宋体" w:cs="宋体"/>
                <w:sz w:val="24"/>
                <w:szCs w:val="24"/>
                <w:lang w:val="en-US" w:eastAsia="zh-CN"/>
              </w:rPr>
              <w:t>）</w:t>
            </w:r>
            <w:r>
              <w:rPr>
                <w:rFonts w:hint="eastAsia" w:ascii="宋体" w:hAnsi="宋体" w:eastAsia="宋体" w:cs="宋体"/>
                <w:b w:val="0"/>
                <w:bCs/>
                <w:color w:val="000000"/>
                <w:sz w:val="24"/>
                <w:szCs w:val="24"/>
                <w:lang w:eastAsia="zh-CN"/>
              </w:rPr>
              <w:t>要将培养方案中每一门课程（含实践环节）列入关系表中，体现每一门课程对培养目标、毕业要求的</w:t>
            </w:r>
            <w:r>
              <w:rPr>
                <w:rFonts w:hint="eastAsia" w:ascii="宋体" w:hAnsi="宋体" w:cs="宋体"/>
                <w:b w:val="0"/>
                <w:bCs/>
                <w:color w:val="000000"/>
                <w:sz w:val="24"/>
                <w:szCs w:val="24"/>
                <w:lang w:eastAsia="zh-CN"/>
              </w:rPr>
              <w:t>支撑和</w:t>
            </w:r>
            <w:r>
              <w:rPr>
                <w:rFonts w:hint="eastAsia" w:ascii="宋体" w:hAnsi="宋体" w:eastAsia="宋体" w:cs="宋体"/>
                <w:b w:val="0"/>
                <w:bCs/>
                <w:color w:val="000000"/>
                <w:sz w:val="24"/>
                <w:szCs w:val="24"/>
                <w:lang w:eastAsia="zh-CN"/>
              </w:rPr>
              <w:t>贡献度。</w:t>
            </w:r>
            <w:r>
              <w:rPr>
                <w:rFonts w:hint="eastAsia" w:ascii="宋体" w:hAnsi="宋体" w:cs="宋体"/>
                <w:b w:val="0"/>
                <w:bCs/>
                <w:color w:val="000000"/>
                <w:sz w:val="24"/>
                <w:szCs w:val="24"/>
                <w:lang w:eastAsia="zh-CN"/>
              </w:rPr>
              <w:t>如果不列全，也就意味着有些课程是不支撑毕业要求和培养目标的。</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0" w:firstLineChars="0"/>
              <w:jc w:val="both"/>
              <w:textAlignment w:val="auto"/>
              <w:rPr>
                <w:rFonts w:hint="eastAsia" w:ascii="宋体" w:hAnsi="宋体" w:eastAsia="宋体" w:cs="宋体"/>
                <w:b/>
                <w:bCs/>
                <w:sz w:val="24"/>
                <w:szCs w:val="24"/>
                <w:lang w:val="en-US" w:eastAsia="zh-CN"/>
              </w:rPr>
            </w:pPr>
            <w:r>
              <w:rPr>
                <w:rFonts w:hint="eastAsia" w:ascii="宋体" w:hAnsi="宋体" w:eastAsia="宋体" w:cs="宋体"/>
                <w:b w:val="0"/>
                <w:bCs/>
                <w:color w:val="000000"/>
                <w:sz w:val="24"/>
                <w:szCs w:val="24"/>
                <w:lang w:eastAsia="zh-CN"/>
              </w:rPr>
              <w:t>（</w:t>
            </w:r>
            <w:r>
              <w:rPr>
                <w:rFonts w:hint="eastAsia" w:ascii="宋体" w:hAnsi="宋体" w:cs="宋体"/>
                <w:b w:val="0"/>
                <w:bCs/>
                <w:color w:val="000000"/>
                <w:sz w:val="24"/>
                <w:szCs w:val="24"/>
                <w:lang w:val="en-US" w:eastAsia="zh-CN"/>
              </w:rPr>
              <w:t>4</w:t>
            </w:r>
            <w:r>
              <w:rPr>
                <w:rFonts w:hint="eastAsia" w:ascii="宋体" w:hAnsi="宋体" w:eastAsia="宋体" w:cs="宋体"/>
                <w:b w:val="0"/>
                <w:bCs/>
                <w:color w:val="000000"/>
                <w:sz w:val="24"/>
                <w:szCs w:val="24"/>
                <w:lang w:val="en-US" w:eastAsia="zh-CN"/>
              </w:rPr>
              <w:t>）</w:t>
            </w:r>
            <w:r>
              <w:rPr>
                <w:rFonts w:hint="eastAsia" w:ascii="宋体" w:hAnsi="宋体" w:eastAsia="宋体" w:cs="宋体"/>
                <w:b w:val="0"/>
                <w:bCs/>
                <w:color w:val="000000"/>
                <w:sz w:val="24"/>
                <w:szCs w:val="24"/>
                <w:lang w:eastAsia="zh-CN"/>
              </w:rPr>
              <w:t>关</w:t>
            </w:r>
            <w:r>
              <w:rPr>
                <w:rFonts w:hint="eastAsia" w:ascii="宋体" w:hAnsi="宋体" w:eastAsia="宋体" w:cs="宋体"/>
                <w:b w:val="0"/>
                <w:bCs/>
                <w:color w:val="000000"/>
                <w:kern w:val="2"/>
                <w:sz w:val="24"/>
                <w:szCs w:val="24"/>
                <w:lang w:eastAsia="zh-CN"/>
              </w:rPr>
              <w:t>系表中所列课程</w:t>
            </w:r>
            <w:r>
              <w:rPr>
                <w:rFonts w:hint="eastAsia" w:ascii="宋体" w:hAnsi="宋体" w:cs="宋体"/>
                <w:b w:val="0"/>
                <w:bCs/>
                <w:color w:val="000000"/>
                <w:kern w:val="2"/>
                <w:sz w:val="24"/>
                <w:szCs w:val="24"/>
                <w:lang w:eastAsia="zh-CN"/>
              </w:rPr>
              <w:t>要</w:t>
            </w:r>
            <w:r>
              <w:rPr>
                <w:rFonts w:hint="eastAsia" w:ascii="宋体" w:hAnsi="宋体" w:eastAsia="宋体" w:cs="宋体"/>
                <w:b w:val="0"/>
                <w:bCs/>
                <w:color w:val="000000"/>
                <w:kern w:val="2"/>
                <w:sz w:val="24"/>
                <w:szCs w:val="24"/>
                <w:lang w:eastAsia="zh-CN"/>
              </w:rPr>
              <w:t>全面支撑指标点内涵</w:t>
            </w:r>
            <w:r>
              <w:rPr>
                <w:rFonts w:hint="eastAsia" w:ascii="宋体" w:hAnsi="宋体" w:cs="宋体"/>
                <w:b w:val="0"/>
                <w:bCs/>
                <w:color w:val="000000"/>
                <w:kern w:val="2"/>
                <w:sz w:val="24"/>
                <w:szCs w:val="24"/>
                <w:lang w:eastAsia="zh-CN"/>
              </w:rPr>
              <w:t>。</w:t>
            </w:r>
            <w:r>
              <w:rPr>
                <w:rFonts w:hint="eastAsia" w:ascii="宋体" w:hAnsi="宋体" w:eastAsia="宋体" w:cs="宋体"/>
                <w:b w:val="0"/>
                <w:bCs/>
                <w:color w:val="000000"/>
                <w:kern w:val="2"/>
                <w:sz w:val="24"/>
                <w:szCs w:val="24"/>
                <w:lang w:eastAsia="zh-CN"/>
              </w:rPr>
              <w:t>同一门课程可以支撑多个指标点和毕业要求</w:t>
            </w:r>
            <w:r>
              <w:rPr>
                <w:rFonts w:hint="eastAsia" w:ascii="宋体" w:hAnsi="宋体" w:cs="宋体"/>
                <w:b w:val="0"/>
                <w:bCs/>
                <w:color w:val="000000"/>
                <w:sz w:val="24"/>
                <w:szCs w:val="24"/>
                <w:lang w:eastAsia="zh-CN"/>
              </w:rPr>
              <w:t>。</w:t>
            </w:r>
            <w:r>
              <w:rPr>
                <w:rFonts w:hint="eastAsia" w:ascii="宋体" w:hAnsi="宋体" w:cs="宋体"/>
                <w:b w:val="0"/>
                <w:bCs/>
                <w:color w:val="000000"/>
                <w:kern w:val="2"/>
                <w:sz w:val="24"/>
                <w:szCs w:val="24"/>
                <w:lang w:eastAsia="zh-CN"/>
              </w:rPr>
              <w:t>建议将关系表进一步梳理、</w:t>
            </w:r>
            <w:r>
              <w:rPr>
                <w:rFonts w:hint="eastAsia" w:ascii="宋体" w:hAnsi="宋体" w:cs="宋体"/>
                <w:b w:val="0"/>
                <w:bCs/>
                <w:color w:val="000000"/>
                <w:kern w:val="2"/>
                <w:sz w:val="24"/>
                <w:szCs w:val="24"/>
                <w:lang w:val="en-US" w:eastAsia="zh-CN"/>
              </w:rPr>
              <w:t>完善</w:t>
            </w:r>
            <w:r>
              <w:rPr>
                <w:rFonts w:hint="eastAsia" w:ascii="宋体" w:hAnsi="宋体" w:cs="宋体"/>
                <w:b w:val="0"/>
                <w:bCs/>
                <w:color w:val="000000"/>
                <w:kern w:val="2"/>
                <w:sz w:val="24"/>
                <w:szCs w:val="24"/>
                <w:lang w:eastAsia="zh-CN"/>
              </w:rPr>
              <w:t>。</w:t>
            </w:r>
          </w:p>
        </w:tc>
        <w:tc>
          <w:tcPr>
            <w:tcW w:w="6648" w:type="dxa"/>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宋体" w:hAnsi="宋体"/>
                <w:kern w:val="0"/>
                <w:szCs w:val="21"/>
                <w:lang w:eastAsia="zh-CN"/>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74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4"/>
                <w:lang w:val="en-US" w:eastAsia="zh-CN"/>
              </w:rPr>
            </w:pPr>
            <w:r>
              <w:rPr>
                <w:rFonts w:hint="eastAsia" w:ascii="宋体" w:hAnsi="宋体" w:cs="宋体"/>
                <w:b/>
                <w:bCs/>
                <w:sz w:val="24"/>
                <w:lang w:val="en-US" w:eastAsia="zh-CN"/>
              </w:rPr>
              <w:t>3.</w:t>
            </w:r>
            <w:r>
              <w:rPr>
                <w:rFonts w:hint="eastAsia" w:ascii="宋体" w:hAnsi="宋体" w:eastAsia="宋体" w:cs="宋体"/>
                <w:b w:val="0"/>
                <w:bCs w:val="0"/>
                <w:sz w:val="24"/>
                <w:lang w:val="en-US" w:eastAsia="zh-CN"/>
              </w:rPr>
              <w:t>跨学科基础课的“传统文化概论”与专业拓展课的“传统文化与当代设计”有重复，建议整合一门课程。</w:t>
            </w:r>
          </w:p>
        </w:tc>
        <w:tc>
          <w:tcPr>
            <w:tcW w:w="6648"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74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0" w:rightChars="0"/>
              <w:jc w:val="both"/>
              <w:textAlignment w:val="auto"/>
              <w:outlineLvl w:val="9"/>
              <w:rPr>
                <w:rFonts w:hint="eastAsia" w:ascii="宋体" w:hAnsi="宋体" w:eastAsia="宋体" w:cs="宋体"/>
                <w:b w:val="0"/>
                <w:bCs w:val="0"/>
                <w:sz w:val="24"/>
                <w:szCs w:val="24"/>
                <w:lang w:val="en-US" w:eastAsia="zh-CN"/>
              </w:rPr>
            </w:pPr>
            <w:r>
              <w:rPr>
                <w:rFonts w:hint="eastAsia" w:asciiTheme="minorEastAsia" w:hAnsiTheme="minorEastAsia" w:eastAsiaTheme="minorEastAsia" w:cstheme="minorEastAsia"/>
                <w:b/>
                <w:bCs/>
                <w:sz w:val="24"/>
                <w:szCs w:val="24"/>
                <w:lang w:val="en-US" w:eastAsia="zh-CN"/>
              </w:rPr>
              <w:t>4.</w:t>
            </w:r>
            <w:r>
              <w:rPr>
                <w:rFonts w:hint="eastAsia" w:ascii="宋体" w:hAnsi="宋体" w:eastAsia="宋体" w:cs="宋体"/>
                <w:b/>
                <w:bCs/>
                <w:sz w:val="24"/>
              </w:rPr>
              <w:t>专业核心课</w:t>
            </w:r>
            <w:r>
              <w:rPr>
                <w:rFonts w:hint="eastAsia" w:ascii="宋体" w:hAnsi="宋体" w:eastAsia="宋体" w:cs="宋体"/>
                <w:b/>
                <w:bCs/>
                <w:sz w:val="24"/>
                <w:lang w:val="en-US" w:eastAsia="zh-CN"/>
              </w:rPr>
              <w:t>：</w:t>
            </w:r>
            <w:r>
              <w:rPr>
                <w:rFonts w:hint="eastAsia" w:ascii="宋体" w:hAnsi="宋体" w:eastAsia="宋体" w:cs="宋体"/>
                <w:b w:val="0"/>
                <w:bCs w:val="0"/>
                <w:sz w:val="24"/>
                <w:lang w:val="en-US" w:eastAsia="zh-CN"/>
              </w:rPr>
              <w:t>学分、学时总体过多，设置不合理。</w:t>
            </w:r>
            <w:r>
              <w:rPr>
                <w:rFonts w:hint="eastAsia" w:ascii="宋体" w:hAnsi="宋体" w:eastAsia="宋体" w:cs="宋体"/>
                <w:b w:val="0"/>
                <w:bCs w:val="0"/>
                <w:sz w:val="24"/>
              </w:rPr>
              <w:t>对环境设计的教学范围，要有清晰的控制</w:t>
            </w:r>
            <w:r>
              <w:rPr>
                <w:rFonts w:hint="eastAsia" w:ascii="宋体" w:hAnsi="宋体" w:eastAsia="宋体" w:cs="宋体"/>
                <w:b w:val="0"/>
                <w:bCs w:val="0"/>
                <w:sz w:val="24"/>
                <w:lang w:eastAsia="zh-CN"/>
              </w:rPr>
              <w:t>，比如</w:t>
            </w:r>
            <w:r>
              <w:rPr>
                <w:rFonts w:hint="eastAsia" w:ascii="宋体" w:hAnsi="宋体" w:eastAsia="宋体" w:cs="宋体"/>
                <w:b w:val="0"/>
                <w:bCs w:val="0"/>
                <w:sz w:val="24"/>
              </w:rPr>
              <w:t>建筑设计、产品设计等虽然跟环境设计有关，但其实已经属于其他</w:t>
            </w:r>
            <w:r>
              <w:rPr>
                <w:rFonts w:hint="eastAsia" w:ascii="宋体" w:hAnsi="宋体" w:eastAsia="宋体" w:cs="宋体"/>
                <w:b w:val="0"/>
                <w:bCs w:val="0"/>
                <w:sz w:val="24"/>
                <w:lang w:eastAsia="zh-CN"/>
              </w:rPr>
              <w:t>专业</w:t>
            </w:r>
            <w:r>
              <w:rPr>
                <w:rFonts w:hint="eastAsia" w:ascii="宋体" w:hAnsi="宋体" w:eastAsia="宋体" w:cs="宋体"/>
                <w:b w:val="0"/>
                <w:bCs w:val="0"/>
                <w:sz w:val="24"/>
              </w:rPr>
              <w:t>的核心教学范围，就应该进行删减或缩少教学课时</w:t>
            </w:r>
            <w:r>
              <w:rPr>
                <w:rFonts w:hint="eastAsia" w:ascii="宋体" w:hAnsi="宋体" w:eastAsia="宋体" w:cs="宋体"/>
                <w:b w:val="0"/>
                <w:bCs w:val="0"/>
                <w:sz w:val="24"/>
                <w:lang w:eastAsia="zh-CN"/>
              </w:rPr>
              <w:t>，集中精力在</w:t>
            </w:r>
            <w:r>
              <w:rPr>
                <w:rFonts w:hint="eastAsia" w:ascii="宋体" w:hAnsi="宋体" w:eastAsia="宋体" w:cs="宋体"/>
                <w:b w:val="0"/>
                <w:bCs w:val="0"/>
                <w:sz w:val="24"/>
              </w:rPr>
              <w:t>室内设计和景观设计</w:t>
            </w:r>
            <w:r>
              <w:rPr>
                <w:rFonts w:hint="eastAsia" w:ascii="宋体" w:hAnsi="宋体" w:eastAsia="宋体" w:cs="宋体"/>
                <w:b w:val="0"/>
                <w:bCs w:val="0"/>
                <w:sz w:val="24"/>
                <w:lang w:eastAsia="zh-CN"/>
              </w:rPr>
              <w:t>做好课程</w:t>
            </w:r>
            <w:r>
              <w:rPr>
                <w:rFonts w:hint="eastAsia" w:ascii="宋体" w:hAnsi="宋体" w:eastAsia="宋体" w:cs="宋体"/>
                <w:b w:val="0"/>
                <w:bCs w:val="0"/>
                <w:sz w:val="24"/>
              </w:rPr>
              <w:t>安排。</w:t>
            </w:r>
            <w:r>
              <w:rPr>
                <w:rFonts w:hint="eastAsia" w:ascii="宋体" w:hAnsi="宋体" w:eastAsia="宋体" w:cs="宋体"/>
                <w:b w:val="0"/>
                <w:bCs w:val="0"/>
                <w:sz w:val="24"/>
                <w:lang w:val="en-US" w:eastAsia="zh-CN"/>
              </w:rPr>
              <w:t>应</w:t>
            </w:r>
            <w:r>
              <w:rPr>
                <w:rFonts w:hint="eastAsia" w:ascii="宋体" w:hAnsi="宋体" w:eastAsia="宋体" w:cs="宋体"/>
                <w:b w:val="0"/>
                <w:bCs w:val="0"/>
                <w:sz w:val="24"/>
                <w:szCs w:val="24"/>
                <w:lang w:val="en-US" w:eastAsia="zh-CN"/>
              </w:rPr>
              <w:t>按照教育部本科专业目录和专业介绍（2012版）要求，整理专业核心课程，将人机工程学、中外工艺美术史、设计学（含美学、心理学、公共关系学），纳入专业核心课程，可将“艺术概论”、“建筑制图”等课程纳入专业拓展课。适当减少部分课程学时学分。</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eastAsia" w:asciiTheme="minorEastAsia" w:hAnsiTheme="minorEastAsia" w:eastAsiaTheme="minorEastAsia" w:cstheme="minorEastAsia"/>
                <w:sz w:val="24"/>
                <w:szCs w:val="24"/>
                <w:lang w:val="en-US" w:eastAsia="zh-CN"/>
              </w:rPr>
            </w:pPr>
            <w:r>
              <w:rPr>
                <w:rFonts w:hint="eastAsia" w:ascii="宋体" w:hAnsi="宋体" w:eastAsia="宋体" w:cs="宋体"/>
                <w:b w:val="0"/>
                <w:bCs w:val="0"/>
                <w:sz w:val="24"/>
                <w:szCs w:val="24"/>
                <w:lang w:val="en-US" w:eastAsia="zh-CN"/>
              </w:rPr>
              <w:t>如果核心课程增加“设计心理学”，会与跨学科基础课的“心理学”重复，要注意避免重复设课。</w:t>
            </w:r>
          </w:p>
        </w:tc>
        <w:tc>
          <w:tcPr>
            <w:tcW w:w="6648"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bookmarkStart w:id="0" w:name="_GoBack"/>
            <w:bookmarkEnd w:id="0"/>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74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0" w:rightChars="0"/>
              <w:jc w:val="both"/>
              <w:textAlignment w:val="auto"/>
              <w:outlineLvl w:val="9"/>
              <w:rPr>
                <w:rFonts w:hint="eastAsia" w:asciiTheme="minorEastAsia" w:hAnsiTheme="minorEastAsia" w:eastAsiaTheme="minorEastAsia" w:cstheme="minorEastAsia"/>
                <w:sz w:val="24"/>
                <w:szCs w:val="24"/>
                <w:lang w:val="en-US" w:eastAsia="zh-CN"/>
              </w:rPr>
            </w:pPr>
            <w:r>
              <w:rPr>
                <w:rFonts w:hint="eastAsia" w:ascii="宋体" w:hAnsi="宋体"/>
                <w:sz w:val="24"/>
                <w:lang w:val="en-US" w:eastAsia="zh-CN"/>
              </w:rPr>
              <w:t>5.</w:t>
            </w:r>
            <w:r>
              <w:rPr>
                <w:rFonts w:hint="eastAsia" w:ascii="宋体" w:hAnsi="宋体" w:eastAsia="宋体" w:cs="宋体"/>
                <w:b w:val="0"/>
                <w:bCs w:val="0"/>
                <w:sz w:val="24"/>
                <w:lang w:val="en-US" w:eastAsia="zh-CN"/>
              </w:rPr>
              <w:t>专业</w:t>
            </w:r>
            <w:r>
              <w:rPr>
                <w:rFonts w:hint="eastAsia" w:ascii="宋体" w:hAnsi="宋体" w:eastAsia="宋体" w:cs="宋体"/>
                <w:b w:val="0"/>
                <w:bCs w:val="0"/>
                <w:sz w:val="24"/>
              </w:rPr>
              <w:t>拓展课</w:t>
            </w:r>
            <w:r>
              <w:rPr>
                <w:rFonts w:hint="eastAsia" w:ascii="宋体" w:hAnsi="宋体" w:eastAsia="宋体" w:cs="宋体"/>
                <w:b w:val="0"/>
                <w:bCs w:val="0"/>
                <w:sz w:val="24"/>
                <w:lang w:eastAsia="zh-CN"/>
              </w:rPr>
              <w:t>。学分过少，提供的课程数量过少，与学分制改革精神不符。此外，课程设置陈旧，</w:t>
            </w:r>
            <w:r>
              <w:rPr>
                <w:rFonts w:hint="eastAsia" w:ascii="宋体" w:hAnsi="宋体" w:eastAsia="宋体" w:cs="宋体"/>
                <w:b w:val="0"/>
                <w:bCs w:val="0"/>
                <w:sz w:val="24"/>
              </w:rPr>
              <w:t>应该体现海洋大学的特色，</w:t>
            </w:r>
            <w:r>
              <w:rPr>
                <w:rFonts w:hint="eastAsia" w:ascii="宋体" w:hAnsi="宋体" w:eastAsia="宋体" w:cs="宋体"/>
                <w:b w:val="0"/>
                <w:bCs w:val="0"/>
                <w:sz w:val="24"/>
                <w:lang w:eastAsia="zh-CN"/>
              </w:rPr>
              <w:t>类似</w:t>
            </w:r>
            <w:r>
              <w:rPr>
                <w:rFonts w:hint="eastAsia" w:ascii="宋体" w:hAnsi="宋体" w:eastAsia="宋体" w:cs="宋体"/>
                <w:b w:val="0"/>
                <w:bCs w:val="0"/>
                <w:sz w:val="24"/>
              </w:rPr>
              <w:t>“古典家具欣赏与家具设计”</w:t>
            </w:r>
            <w:r>
              <w:rPr>
                <w:rFonts w:hint="eastAsia" w:ascii="宋体" w:hAnsi="宋体" w:eastAsia="宋体" w:cs="宋体"/>
                <w:b w:val="0"/>
                <w:bCs w:val="0"/>
                <w:sz w:val="24"/>
                <w:lang w:eastAsia="zh-CN"/>
              </w:rPr>
              <w:t>，</w:t>
            </w:r>
            <w:r>
              <w:rPr>
                <w:rFonts w:hint="eastAsia" w:ascii="宋体" w:hAnsi="宋体" w:eastAsia="宋体" w:cs="宋体"/>
                <w:b w:val="0"/>
                <w:bCs w:val="0"/>
                <w:sz w:val="24"/>
              </w:rPr>
              <w:t>比较冷偏。</w:t>
            </w:r>
          </w:p>
        </w:tc>
        <w:tc>
          <w:tcPr>
            <w:tcW w:w="6648"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74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0" w:firstLineChars="0"/>
              <w:jc w:val="both"/>
              <w:textAlignment w:val="auto"/>
              <w:rPr>
                <w:rFonts w:hint="eastAsia" w:ascii="宋体" w:hAnsi="宋体" w:cs="宋体"/>
                <w:bCs/>
                <w:sz w:val="24"/>
                <w:szCs w:val="24"/>
                <w:lang w:val="en-US" w:eastAsia="zh-CN"/>
              </w:rPr>
            </w:pPr>
            <w:r>
              <w:rPr>
                <w:rFonts w:hint="eastAsia" w:ascii="宋体" w:hAnsi="宋体" w:cs="宋体"/>
                <w:bCs/>
                <w:sz w:val="24"/>
                <w:szCs w:val="24"/>
                <w:lang w:val="en-US" w:eastAsia="zh-CN"/>
              </w:rPr>
              <w:t>6.</w:t>
            </w:r>
            <w:r>
              <w:rPr>
                <w:rFonts w:hint="eastAsia" w:ascii="宋体" w:hAnsi="宋体" w:eastAsia="宋体" w:cs="宋体"/>
                <w:b w:val="0"/>
                <w:bCs w:val="0"/>
                <w:sz w:val="24"/>
                <w:lang w:val="en-US" w:eastAsia="zh-CN"/>
              </w:rPr>
              <w:t>专业实践环节</w:t>
            </w:r>
            <w:r>
              <w:rPr>
                <w:rFonts w:hint="eastAsia" w:ascii="宋体" w:hAnsi="宋体" w:eastAsia="宋体" w:cs="宋体"/>
                <w:b w:val="0"/>
                <w:bCs w:val="0"/>
                <w:sz w:val="24"/>
                <w:szCs w:val="24"/>
                <w:lang w:val="en-US" w:eastAsia="zh-CN"/>
              </w:rPr>
              <w:t>设置不合理。与产品设计、服装服饰设计、视觉传达设计、美术学专业完全雷同。若可以雷同，建议取消专业，或将几个专业合并一个专业即可。应严格按照教育部本科专业目录和专业介绍（2012版）要求，开设相关核心课程的课程设计、课程实习等。专业实践可以工作坊形式结合校外企业参观访问，或者产学研课题形式进行实题教学。</w:t>
            </w:r>
          </w:p>
        </w:tc>
        <w:tc>
          <w:tcPr>
            <w:tcW w:w="6648" w:type="dxa"/>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宋体" w:hAnsi="宋体" w:eastAsia="宋体" w:cs="宋体"/>
                <w:bCs/>
                <w:sz w:val="24"/>
                <w:szCs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74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0" w:rightChars="0"/>
              <w:jc w:val="both"/>
              <w:textAlignment w:val="auto"/>
              <w:outlineLvl w:val="9"/>
              <w:rPr>
                <w:rFonts w:hint="eastAsia" w:ascii="宋体" w:hAnsi="宋体" w:cs="宋体"/>
                <w:bCs/>
                <w:sz w:val="24"/>
                <w:szCs w:val="24"/>
                <w:lang w:val="en-US" w:eastAsia="zh-CN"/>
              </w:rPr>
            </w:pPr>
            <w:r>
              <w:rPr>
                <w:rFonts w:hint="eastAsia" w:ascii="宋体" w:hAnsi="宋体" w:cs="宋体"/>
                <w:bCs/>
                <w:sz w:val="24"/>
                <w:szCs w:val="24"/>
                <w:lang w:val="en-US" w:eastAsia="zh-CN"/>
              </w:rPr>
              <w:t>7.</w:t>
            </w:r>
            <w:r>
              <w:rPr>
                <w:rFonts w:hint="eastAsia" w:ascii="宋体" w:hAnsi="宋体" w:eastAsia="宋体" w:cs="宋体"/>
                <w:b w:val="0"/>
                <w:bCs w:val="0"/>
                <w:sz w:val="24"/>
                <w:szCs w:val="24"/>
                <w:lang w:val="en-US" w:eastAsia="zh-CN"/>
              </w:rPr>
              <w:t>毕业论文与毕业设计的教学建议：毕业设计课程应加强开发视觉、材料、构造、文化、生活（消费）脉络中的设计感知力。将学术概念转化为价值思考以及实践行动中的探索与钻研。</w:t>
            </w:r>
          </w:p>
        </w:tc>
        <w:tc>
          <w:tcPr>
            <w:tcW w:w="6648" w:type="dxa"/>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宋体" w:hAnsi="宋体" w:eastAsia="宋体" w:cs="宋体"/>
                <w:bCs/>
                <w:sz w:val="24"/>
                <w:szCs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74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right="0" w:rightChars="0"/>
              <w:jc w:val="both"/>
              <w:textAlignment w:val="auto"/>
              <w:outlineLvl w:val="9"/>
              <w:rPr>
                <w:rFonts w:hint="eastAsia" w:ascii="宋体" w:hAnsi="宋体" w:cs="宋体"/>
                <w:bCs/>
                <w:sz w:val="24"/>
                <w:szCs w:val="24"/>
                <w:lang w:val="en-US" w:eastAsia="zh-CN"/>
              </w:rPr>
            </w:pPr>
            <w:r>
              <w:rPr>
                <w:rFonts w:hint="eastAsia" w:ascii="宋体" w:hAnsi="宋体" w:cs="宋体"/>
                <w:bCs/>
                <w:sz w:val="24"/>
                <w:szCs w:val="24"/>
                <w:lang w:val="en-US" w:eastAsia="zh-CN"/>
              </w:rPr>
              <w:t>8.</w:t>
            </w:r>
            <w:r>
              <w:rPr>
                <w:rFonts w:hint="eastAsia" w:ascii="宋体" w:hAnsi="宋体" w:eastAsia="宋体" w:cs="宋体"/>
                <w:sz w:val="24"/>
                <w:szCs w:val="24"/>
                <w:lang w:val="en-US" w:eastAsia="zh-CN"/>
              </w:rPr>
              <w:t>跨学科基础课和专业理论教育课程设置中绝大部分考核方式为考查，建议修改，并在教学执行中增加具体考核评分方式。</w:t>
            </w:r>
          </w:p>
        </w:tc>
        <w:tc>
          <w:tcPr>
            <w:tcW w:w="6648" w:type="dxa"/>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宋体" w:hAnsi="宋体" w:eastAsia="宋体" w:cs="宋体"/>
                <w:bCs/>
                <w:sz w:val="24"/>
                <w:szCs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74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right="0" w:rightChars="0"/>
              <w:jc w:val="both"/>
              <w:textAlignment w:val="auto"/>
              <w:outlineLvl w:val="9"/>
              <w:rPr>
                <w:rFonts w:hint="eastAsia" w:ascii="宋体" w:hAnsi="宋体" w:cs="宋体"/>
                <w:bCs/>
                <w:sz w:val="24"/>
                <w:szCs w:val="24"/>
                <w:lang w:val="en-US" w:eastAsia="zh-CN"/>
              </w:rPr>
            </w:pPr>
            <w:r>
              <w:rPr>
                <w:rFonts w:hint="eastAsia" w:ascii="宋体" w:hAnsi="宋体" w:cs="宋体"/>
                <w:bCs/>
                <w:sz w:val="24"/>
                <w:szCs w:val="24"/>
                <w:lang w:val="en-US" w:eastAsia="zh-CN"/>
              </w:rPr>
              <w:t>9.</w:t>
            </w:r>
            <w:r>
              <w:rPr>
                <w:rFonts w:hint="eastAsia" w:ascii="宋体" w:hAnsi="宋体" w:eastAsia="宋体" w:cs="宋体"/>
                <w:sz w:val="24"/>
                <w:szCs w:val="24"/>
                <w:lang w:val="en-US" w:eastAsia="zh-CN"/>
              </w:rPr>
              <w:t>不能将“毕业展览</w:t>
            </w:r>
            <w:r>
              <w:rPr>
                <w:rFonts w:hint="default" w:ascii="宋体" w:hAnsi="宋体" w:eastAsia="宋体" w:cs="宋体"/>
                <w:sz w:val="24"/>
                <w:szCs w:val="24"/>
                <w:lang w:val="en-US" w:eastAsia="zh-CN"/>
              </w:rPr>
              <w:t>”</w:t>
            </w:r>
            <w:r>
              <w:rPr>
                <w:rFonts w:hint="eastAsia" w:ascii="宋体" w:hAnsi="宋体" w:eastAsia="宋体" w:cs="宋体"/>
                <w:sz w:val="24"/>
                <w:szCs w:val="24"/>
                <w:lang w:val="en-US" w:eastAsia="zh-CN"/>
              </w:rPr>
              <w:t>等同于学校要求的“</w:t>
            </w:r>
            <w:r>
              <w:rPr>
                <w:rFonts w:hint="eastAsia" w:ascii="宋体" w:hAnsi="宋体" w:eastAsia="宋体" w:cs="宋体"/>
                <w:sz w:val="24"/>
                <w:szCs w:val="24"/>
              </w:rPr>
              <w:t>专业创新创业综合实践</w:t>
            </w:r>
            <w:r>
              <w:rPr>
                <w:rFonts w:hint="eastAsia" w:ascii="宋体" w:hAnsi="宋体" w:eastAsia="宋体" w:cs="宋体"/>
                <w:sz w:val="24"/>
                <w:szCs w:val="24"/>
                <w:lang w:val="en-US" w:eastAsia="zh-CN"/>
              </w:rPr>
              <w:t>”,应根据各专业实际，结合《广东海洋大学本科生创新创业实践学分认定管理办法》(校教务〔2017〕101号)，设置独立的“</w:t>
            </w:r>
            <w:r>
              <w:rPr>
                <w:rFonts w:hint="eastAsia" w:ascii="宋体" w:hAnsi="宋体" w:eastAsia="宋体" w:cs="宋体"/>
                <w:sz w:val="24"/>
                <w:szCs w:val="24"/>
              </w:rPr>
              <w:t>专业创新创业综合实践</w:t>
            </w:r>
            <w:r>
              <w:rPr>
                <w:rFonts w:hint="eastAsia" w:ascii="宋体" w:hAnsi="宋体" w:eastAsia="宋体" w:cs="宋体"/>
                <w:sz w:val="24"/>
                <w:szCs w:val="24"/>
                <w:lang w:val="en-US" w:eastAsia="zh-CN"/>
              </w:rPr>
              <w:t>”实践课程，并制订具体实施细则。</w:t>
            </w:r>
          </w:p>
        </w:tc>
        <w:tc>
          <w:tcPr>
            <w:tcW w:w="6648" w:type="dxa"/>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宋体" w:hAnsi="宋体" w:eastAsia="宋体" w:cs="宋体"/>
                <w:bCs/>
                <w:sz w:val="24"/>
                <w:szCs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74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right="0" w:rightChars="0"/>
              <w:jc w:val="both"/>
              <w:textAlignment w:val="auto"/>
              <w:outlineLvl w:val="9"/>
              <w:rPr>
                <w:rFonts w:hint="eastAsia" w:ascii="宋体" w:hAnsi="宋体" w:cs="宋体"/>
                <w:bCs/>
                <w:sz w:val="24"/>
                <w:szCs w:val="24"/>
                <w:lang w:val="en-US" w:eastAsia="zh-CN"/>
              </w:rPr>
            </w:pPr>
            <w:r>
              <w:rPr>
                <w:rFonts w:hint="eastAsia" w:ascii="宋体" w:hAnsi="宋体" w:cs="宋体"/>
                <w:bCs/>
                <w:sz w:val="24"/>
                <w:szCs w:val="24"/>
                <w:lang w:val="en-US" w:eastAsia="zh-CN"/>
              </w:rPr>
              <w:t>10.</w:t>
            </w:r>
            <w:r>
              <w:rPr>
                <w:rFonts w:hint="eastAsia" w:ascii="宋体" w:hAnsi="宋体" w:cs="宋体"/>
                <w:b w:val="0"/>
                <w:bCs w:val="0"/>
                <w:sz w:val="24"/>
                <w:szCs w:val="24"/>
                <w:lang w:val="en-US" w:eastAsia="zh-CN"/>
              </w:rPr>
              <w:t>能否设置相关涉海课程，凸显该专业的海洋特色，更好地支撑学校海洋人才培养的总体目标。建议结合专业开设创新创业课程，培养学生创新创业意识和素质。</w:t>
            </w:r>
          </w:p>
        </w:tc>
        <w:tc>
          <w:tcPr>
            <w:tcW w:w="6648" w:type="dxa"/>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宋体" w:hAnsi="宋体" w:eastAsia="宋体" w:cs="宋体"/>
                <w:bCs/>
                <w:sz w:val="24"/>
                <w:szCs w:val="24"/>
              </w:rPr>
            </w:pPr>
          </w:p>
        </w:tc>
      </w:tr>
    </w:tbl>
    <w:p>
      <w:pPr>
        <w:jc w:val="center"/>
      </w:pPr>
      <w:r>
        <w:rPr>
          <w:rFonts w:hint="eastAsia" w:ascii="宋体" w:hAnsi="宋体"/>
          <w:bCs/>
          <w:sz w:val="24"/>
        </w:rPr>
        <w:t>执笔人：</w:t>
      </w:r>
      <w:r>
        <w:rPr>
          <w:rFonts w:ascii="宋体" w:hAnsi="宋体"/>
          <w:bCs/>
          <w:sz w:val="24"/>
        </w:rPr>
        <w:t xml:space="preserve">                             </w:t>
      </w:r>
      <w:r>
        <w:rPr>
          <w:rFonts w:hint="eastAsia" w:ascii="宋体" w:hAnsi="宋体"/>
          <w:bCs/>
          <w:sz w:val="24"/>
          <w:lang w:val="en-US" w:eastAsia="zh-CN"/>
        </w:rPr>
        <w:t xml:space="preserve">                         </w:t>
      </w:r>
      <w:r>
        <w:rPr>
          <w:rFonts w:hint="eastAsia" w:ascii="宋体" w:hAnsi="宋体"/>
          <w:bCs/>
          <w:sz w:val="24"/>
        </w:rPr>
        <w:t>时间：</w:t>
      </w:r>
      <w:r>
        <w:rPr>
          <w:rFonts w:hint="eastAsia" w:ascii="宋体" w:hAnsi="宋体"/>
          <w:bCs/>
          <w:sz w:val="24"/>
          <w:lang w:val="en-US" w:eastAsia="zh-CN"/>
        </w:rPr>
        <w:t xml:space="preserve">  </w:t>
      </w:r>
      <w:r>
        <w:rPr>
          <w:rFonts w:ascii="宋体" w:hAnsi="宋体"/>
          <w:bCs/>
          <w:sz w:val="24"/>
        </w:rPr>
        <w:t xml:space="preserve">  </w:t>
      </w:r>
      <w:r>
        <w:rPr>
          <w:rFonts w:hint="eastAsia" w:ascii="宋体" w:hAnsi="宋体"/>
          <w:bCs/>
          <w:sz w:val="24"/>
        </w:rPr>
        <w:t>年</w:t>
      </w:r>
      <w:r>
        <w:rPr>
          <w:rFonts w:ascii="宋体" w:hAnsi="宋体"/>
          <w:bCs/>
          <w:sz w:val="24"/>
        </w:rPr>
        <w:t xml:space="preserve"> </w:t>
      </w:r>
      <w:r>
        <w:rPr>
          <w:rFonts w:hint="eastAsia" w:ascii="宋体" w:hAnsi="宋体"/>
          <w:bCs/>
          <w:sz w:val="24"/>
          <w:lang w:val="en-US" w:eastAsia="zh-CN"/>
        </w:rPr>
        <w:t xml:space="preserve">  </w:t>
      </w:r>
      <w:r>
        <w:rPr>
          <w:rFonts w:ascii="宋体" w:hAnsi="宋体"/>
          <w:bCs/>
          <w:sz w:val="24"/>
        </w:rPr>
        <w:t xml:space="preserve"> </w:t>
      </w:r>
      <w:r>
        <w:rPr>
          <w:rFonts w:hint="eastAsia" w:ascii="宋体" w:hAnsi="宋体"/>
          <w:bCs/>
          <w:sz w:val="24"/>
        </w:rPr>
        <w:t>月</w:t>
      </w:r>
      <w:r>
        <w:rPr>
          <w:rFonts w:ascii="宋体" w:hAnsi="宋体"/>
          <w:bCs/>
          <w:sz w:val="24"/>
        </w:rPr>
        <w:t xml:space="preserve"> </w:t>
      </w:r>
      <w:r>
        <w:rPr>
          <w:rFonts w:hint="eastAsia" w:ascii="宋体" w:hAnsi="宋体"/>
          <w:bCs/>
          <w:sz w:val="24"/>
          <w:lang w:val="en-US" w:eastAsia="zh-CN"/>
        </w:rPr>
        <w:t xml:space="preserve">  </w:t>
      </w:r>
      <w:r>
        <w:rPr>
          <w:rFonts w:ascii="宋体" w:hAnsi="宋体"/>
          <w:bCs/>
          <w:sz w:val="24"/>
        </w:rPr>
        <w:t xml:space="preserve"> </w:t>
      </w:r>
      <w:r>
        <w:rPr>
          <w:rFonts w:hint="eastAsia" w:ascii="宋体" w:hAnsi="宋体"/>
          <w:bCs/>
          <w:sz w:val="24"/>
        </w:rPr>
        <w:t>日</w:t>
      </w:r>
    </w:p>
    <w:sectPr>
      <w:pgSz w:w="16838" w:h="11906" w:orient="landscape"/>
      <w:pgMar w:top="1800" w:right="1440" w:bottom="1800" w:left="144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auto"/>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 w:name="华文行楷">
    <w:altName w:val="微软雅黑"/>
    <w:panose1 w:val="00000000000000000000"/>
    <w:charset w:val="86"/>
    <w:family w:val="auto"/>
    <w:pitch w:val="default"/>
    <w:sig w:usb0="00000000" w:usb1="00000000" w:usb2="00000010" w:usb3="00000000" w:csb0="00040000" w:csb1="00000000"/>
  </w:font>
  <w:font w:name="华文新魏">
    <w:altName w:val="宋体"/>
    <w:panose1 w:val="02010800040101010101"/>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宋体"/>
    <w:panose1 w:val="00000000000000000000"/>
    <w:charset w:val="86"/>
    <w:family w:val="auto"/>
    <w:pitch w:val="default"/>
    <w:sig w:usb0="00000000" w:usb1="00000000" w:usb2="00000010" w:usb3="00000000" w:csb0="00040000" w:csb1="00000000"/>
  </w:font>
  <w:font w:name="汉仪书宋二简">
    <w:altName w:val="SimSun-ExtB"/>
    <w:panose1 w:val="00000000000000000000"/>
    <w:charset w:val="86"/>
    <w:family w:val="modern"/>
    <w:pitch w:val="default"/>
    <w:sig w:usb0="00000000" w:usb1="00000000" w:usb2="00000012"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SimSun-ExtB">
    <w:panose1 w:val="02010609060101010101"/>
    <w:charset w:val="86"/>
    <w:family w:val="auto"/>
    <w:pitch w:val="default"/>
    <w:sig w:usb0="00000001" w:usb1="02000000" w:usb2="00000000" w:usb3="00000000" w:csb0="00040001" w:csb1="00000000"/>
  </w:font>
  <w:font w:name="楷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新宋体">
    <w:panose1 w:val="02010609030101010101"/>
    <w:charset w:val="86"/>
    <w:family w:val="modern"/>
    <w:pitch w:val="default"/>
    <w:sig w:usb0="00000003" w:usb1="288F0000" w:usb2="00000006" w:usb3="00000000" w:csb0="00040001" w:csb1="00000000"/>
  </w:font>
  <w:font w:name="Tahoma">
    <w:panose1 w:val="020B0604030504040204"/>
    <w:charset w:val="00"/>
    <w:family w:val="swiss"/>
    <w:pitch w:val="default"/>
    <w:sig w:usb0="E1002EFF" w:usb1="C000605B" w:usb2="00000029" w:usb3="00000000" w:csb0="200101FF" w:csb1="20280000"/>
  </w:font>
  <w:font w:name="Helvetica">
    <w:altName w:val="Arial"/>
    <w:panose1 w:val="020B0604020202020204"/>
    <w:charset w:val="00"/>
    <w:family w:val="swiss"/>
    <w:pitch w:val="default"/>
    <w:sig w:usb0="00000000" w:usb1="00000000" w:usb2="00000009" w:usb3="00000000" w:csb0="000001FF" w:csb1="00000000"/>
  </w:font>
  <w:font w:name="Arial Unicode MS">
    <w:altName w:val="宋体"/>
    <w:panose1 w:val="020B0604020202020204"/>
    <w:charset w:val="86"/>
    <w:family w:val="swiss"/>
    <w:pitch w:val="default"/>
    <w:sig w:usb0="00000000" w:usb1="00000000" w:usb2="0000003F" w:usb3="00000000" w:csb0="003F01FF" w:csb1="00000000"/>
  </w:font>
  <w:font w:name="PMingLiU">
    <w:panose1 w:val="02020500000000000000"/>
    <w:charset w:val="88"/>
    <w:family w:val="roman"/>
    <w:pitch w:val="default"/>
    <w:sig w:usb0="A00002FF" w:usb1="28CFFCFA" w:usb2="00000016" w:usb3="00000000" w:csb0="00100001" w:csb1="00000000"/>
  </w:font>
  <w:font w:name="MS Mincho">
    <w:panose1 w:val="02020609040205080304"/>
    <w:charset w:val="80"/>
    <w:family w:val="modern"/>
    <w:pitch w:val="default"/>
    <w:sig w:usb0="E00002FF" w:usb1="6AC7FDFB" w:usb2="00000012" w:usb3="00000000" w:csb0="4002009F" w:csb1="DFD70000"/>
  </w:font>
  <w:font w:name="方正书宋简体">
    <w:altName w:val="宋体"/>
    <w:panose1 w:val="03000509000000000000"/>
    <w:charset w:val="86"/>
    <w:family w:val="script"/>
    <w:pitch w:val="default"/>
    <w:sig w:usb0="00000000" w:usb1="00000000" w:usb2="00000010" w:usb3="00000000" w:csb0="00040000" w:csb1="00000000"/>
  </w:font>
  <w:font w:name="等线">
    <w:altName w:val="宋体"/>
    <w:panose1 w:val="00000000000000000000"/>
    <w:charset w:val="86"/>
    <w:family w:val="auto"/>
    <w:pitch w:val="default"/>
    <w:sig w:usb0="00000000" w:usb1="00000000" w:usb2="00000016" w:usb3="00000000" w:csb0="0004000F" w:csb1="00000000"/>
  </w:font>
  <w:font w:name="他">
    <w:altName w:val="宋体"/>
    <w:panose1 w:val="00000000000000000000"/>
    <w:charset w:val="86"/>
    <w:family w:val="roman"/>
    <w:pitch w:val="default"/>
    <w:sig w:usb0="00000000" w:usb1="00000000" w:usb2="00000000" w:usb3="00000000" w:csb0="00000000" w:csb1="00000000"/>
  </w:font>
  <w:font w:name="瀹嬩綋">
    <w:altName w:val="宋体"/>
    <w:panose1 w:val="00000000000000000000"/>
    <w:charset w:val="86"/>
    <w:family w:val="roman"/>
    <w:pitch w:val="default"/>
    <w:sig w:usb0="00000000" w:usb1="00000000" w:usb2="0000001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Verdana">
    <w:panose1 w:val="020B0604030504040204"/>
    <w:charset w:val="00"/>
    <w:family w:val="swiss"/>
    <w:pitch w:val="default"/>
    <w:sig w:usb0="A10006FF" w:usb1="4000205B" w:usb2="00000010" w:usb3="00000000" w:csb0="2000019F" w:csb1="00000000"/>
  </w:font>
  <w:font w:name="American Typewriter">
    <w:altName w:val="MV Boli"/>
    <w:panose1 w:val="00000000000000000000"/>
    <w:charset w:val="00"/>
    <w:family w:val="auto"/>
    <w:pitch w:val="default"/>
    <w:sig w:usb0="00000000" w:usb1="00000000" w:usb2="00000000" w:usb3="00000000" w:csb0="00000111" w:csb1="00000000"/>
  </w:font>
  <w:font w:name="楷体_GB2312">
    <w:altName w:val="楷体"/>
    <w:panose1 w:val="02010609030101010101"/>
    <w:charset w:val="86"/>
    <w:family w:val="modern"/>
    <w:pitch w:val="default"/>
    <w:sig w:usb0="00000000" w:usb1="00000000" w:usb2="00000010" w:usb3="00000000" w:csb0="00040000" w:csb1="00000000"/>
  </w:font>
  <w:font w:name="方正宋黑简体">
    <w:altName w:val="宋体"/>
    <w:panose1 w:val="03000509000000000000"/>
    <w:charset w:val="86"/>
    <w:family w:val="script"/>
    <w:pitch w:val="default"/>
    <w:sig w:usb0="00000000" w:usb1="00000000" w:usb2="00000010" w:usb3="00000000" w:csb0="00040000" w:csb1="00000000"/>
  </w:font>
  <w:font w:name="Segoe UI">
    <w:panose1 w:val="020B0502040204020203"/>
    <w:charset w:val="00"/>
    <w:family w:val="swiss"/>
    <w:pitch w:val="default"/>
    <w:sig w:usb0="E10022FF" w:usb1="C000E47F" w:usb2="00000029" w:usb3="00000000" w:csb0="200001DF" w:csb1="20000000"/>
  </w:font>
  <w:font w:name="华文隶书">
    <w:altName w:val="微软雅黑"/>
    <w:panose1 w:val="02010800040101010101"/>
    <w:charset w:val="86"/>
    <w:family w:val="auto"/>
    <w:pitch w:val="default"/>
    <w:sig w:usb0="00000000" w:usb1="00000000" w:usb2="00000010" w:usb3="00000000" w:csb0="00040000" w:csb1="00000000"/>
  </w:font>
  <w:font w:name="MV Boli">
    <w:panose1 w:val="02000500030200090000"/>
    <w:charset w:val="00"/>
    <w:family w:val="auto"/>
    <w:pitch w:val="default"/>
    <w:sig w:usb0="00000003" w:usb1="00000000" w:usb2="00000100" w:usb3="00000000" w:csb0="00000001" w:csb1="00000000"/>
  </w:font>
  <w:font w:name="方正小标宋_GBK">
    <w:altName w:val="微软雅黑"/>
    <w:panose1 w:val="03000509000000000000"/>
    <w:charset w:val="86"/>
    <w:family w:val="script"/>
    <w:pitch w:val="default"/>
    <w:sig w:usb0="00000000" w:usb1="00000000" w:usb2="00000010" w:usb3="00000000" w:csb0="00040000" w:csb1="00000000"/>
  </w:font>
  <w:font w:name="MingLiU">
    <w:panose1 w:val="02020509000000000000"/>
    <w:charset w:val="88"/>
    <w:family w:val="modern"/>
    <w:pitch w:val="default"/>
    <w:sig w:usb0="A00002FF" w:usb1="28CFFCFA" w:usb2="00000016" w:usb3="00000000" w:csb0="00100001" w:csb1="00000000"/>
  </w:font>
  <w:font w:name="Georgia">
    <w:panose1 w:val="02040502050405020303"/>
    <w:charset w:val="00"/>
    <w:family w:val="roman"/>
    <w:pitch w:val="default"/>
    <w:sig w:usb0="00000287" w:usb1="00000000" w:usb2="00000000" w:usb3="00000000" w:csb0="2000009F" w:csb1="00000000"/>
  </w:font>
  <w:font w:name="Arial Unicode MS">
    <w:altName w:val="Arial"/>
    <w:panose1 w:val="020B0604020202020204"/>
    <w:charset w:val="00"/>
    <w:family w:val="roman"/>
    <w:pitch w:val="default"/>
    <w:sig w:usb0="00000000" w:usb1="00000000" w:usb2="00000000" w:usb3="00000000" w:csb0="00000001" w:csb1="00000000"/>
  </w:font>
  <w:font w:name="黑体">
    <w:panose1 w:val="02010609060101010101"/>
    <w:charset w:val="50"/>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8A97586"/>
    <w:rsid w:val="010E3A83"/>
    <w:rsid w:val="06B86671"/>
    <w:rsid w:val="07533E9D"/>
    <w:rsid w:val="07ED2627"/>
    <w:rsid w:val="0AE47EBC"/>
    <w:rsid w:val="0C1B4C2C"/>
    <w:rsid w:val="0C245C9C"/>
    <w:rsid w:val="0C470571"/>
    <w:rsid w:val="0E6E385D"/>
    <w:rsid w:val="0EA86D90"/>
    <w:rsid w:val="102C0A0F"/>
    <w:rsid w:val="117201E8"/>
    <w:rsid w:val="117E3F4D"/>
    <w:rsid w:val="119909E7"/>
    <w:rsid w:val="12DB5170"/>
    <w:rsid w:val="13DE25C2"/>
    <w:rsid w:val="16C47058"/>
    <w:rsid w:val="17830759"/>
    <w:rsid w:val="1AE61066"/>
    <w:rsid w:val="1BDB6B4F"/>
    <w:rsid w:val="204E2E4D"/>
    <w:rsid w:val="224668AD"/>
    <w:rsid w:val="22A56461"/>
    <w:rsid w:val="2381059F"/>
    <w:rsid w:val="23C55634"/>
    <w:rsid w:val="26E14A51"/>
    <w:rsid w:val="286315C3"/>
    <w:rsid w:val="28A97586"/>
    <w:rsid w:val="2BB96F1F"/>
    <w:rsid w:val="2BE447B2"/>
    <w:rsid w:val="2EF53201"/>
    <w:rsid w:val="2EFC1D06"/>
    <w:rsid w:val="2FA40A26"/>
    <w:rsid w:val="32CF4094"/>
    <w:rsid w:val="32FB561D"/>
    <w:rsid w:val="339F1CCA"/>
    <w:rsid w:val="33A81B5C"/>
    <w:rsid w:val="3A13386D"/>
    <w:rsid w:val="3FC10002"/>
    <w:rsid w:val="40362E40"/>
    <w:rsid w:val="405C2FAB"/>
    <w:rsid w:val="41FC6CE1"/>
    <w:rsid w:val="4200142C"/>
    <w:rsid w:val="44547735"/>
    <w:rsid w:val="45351B7E"/>
    <w:rsid w:val="466E4269"/>
    <w:rsid w:val="467961A3"/>
    <w:rsid w:val="47CE0469"/>
    <w:rsid w:val="4D8F6D71"/>
    <w:rsid w:val="51FE4AD9"/>
    <w:rsid w:val="525A3A6F"/>
    <w:rsid w:val="52963093"/>
    <w:rsid w:val="537A24F9"/>
    <w:rsid w:val="57A530DF"/>
    <w:rsid w:val="581919D7"/>
    <w:rsid w:val="590B752E"/>
    <w:rsid w:val="59911AAB"/>
    <w:rsid w:val="5A8A533A"/>
    <w:rsid w:val="5C3E6532"/>
    <w:rsid w:val="607654DC"/>
    <w:rsid w:val="630A4728"/>
    <w:rsid w:val="68796044"/>
    <w:rsid w:val="6AEB4794"/>
    <w:rsid w:val="6B1F12DC"/>
    <w:rsid w:val="6E517661"/>
    <w:rsid w:val="712850BB"/>
    <w:rsid w:val="72552A18"/>
    <w:rsid w:val="7560229C"/>
    <w:rsid w:val="75E12EAE"/>
    <w:rsid w:val="76413CF9"/>
    <w:rsid w:val="7790026F"/>
    <w:rsid w:val="77997E4F"/>
    <w:rsid w:val="77C27E57"/>
    <w:rsid w:val="7A221B81"/>
    <w:rsid w:val="7C4F0886"/>
    <w:rsid w:val="7C9F22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2017-12-21T13:46:00Z</dcterms:created>
  <dc:creator>Administrator</dc:creator>
  <cp:lastModifiedBy>Administrator</cp:lastModifiedBy>
  <cp:lastPrinted>2017-12-22T00:08:00Z</cp:lastPrinted>
  <dcterms:modified xsi:type="dcterms:W3CDTF">2017-12-26T00:46:36Z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