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4117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69"/>
        <w:gridCol w:w="6648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14117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r>
              <w:rPr>
                <w:rFonts w:hint="eastAsia"/>
              </w:rPr>
              <w:t>附件</w:t>
            </w:r>
            <w:r>
              <w:t>1</w:t>
            </w:r>
          </w:p>
          <w:p>
            <w:pPr>
              <w:spacing w:line="360" w:lineRule="exact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Times New Roman" w:hAnsi="Times New Roman"/>
                <w:b/>
                <w:bCs w:val="0"/>
                <w:sz w:val="28"/>
                <w:szCs w:val="28"/>
                <w:lang w:val="en-US" w:eastAsia="zh-CN"/>
              </w:rPr>
              <w:t>音乐学</w:t>
            </w:r>
            <w:r>
              <w:rPr>
                <w:rFonts w:hint="eastAsia" w:ascii="Times New Roman" w:hAnsi="Times New Roman"/>
                <w:bCs/>
                <w:sz w:val="24"/>
              </w:rPr>
              <w:t>专业</w:t>
            </w:r>
            <w:r>
              <w:rPr>
                <w:rFonts w:ascii="Times New Roman" w:hAnsi="Times New Roman"/>
                <w:bCs/>
                <w:sz w:val="24"/>
              </w:rPr>
              <w:t>2017</w:t>
            </w:r>
            <w:r>
              <w:rPr>
                <w:rFonts w:hint="eastAsia" w:ascii="Times New Roman" w:hAnsi="Times New Roman"/>
                <w:bCs/>
                <w:sz w:val="24"/>
              </w:rPr>
              <w:t>版</w:t>
            </w:r>
            <w:r>
              <w:rPr>
                <w:rFonts w:hint="eastAsia" w:ascii="Times New Roman" w:hAnsi="Times New Roman"/>
                <w:bCs/>
                <w:sz w:val="24"/>
                <w:lang w:eastAsia="zh-CN"/>
              </w:rPr>
              <w:t>学分制</w:t>
            </w:r>
            <w:r>
              <w:rPr>
                <w:rFonts w:hint="eastAsia" w:ascii="Times New Roman" w:hAnsi="Times New Roman"/>
                <w:bCs/>
                <w:sz w:val="24"/>
              </w:rPr>
              <w:t>培养方案专家评审意见及</w:t>
            </w:r>
            <w:r>
              <w:rPr>
                <w:rFonts w:hint="eastAsia" w:ascii="Times New Roman" w:hAnsi="Times New Roman"/>
                <w:bCs/>
                <w:sz w:val="24"/>
                <w:lang w:eastAsia="zh-CN"/>
              </w:rPr>
              <w:t>专业</w:t>
            </w:r>
            <w:r>
              <w:rPr>
                <w:rFonts w:hint="eastAsia" w:ascii="Times New Roman" w:hAnsi="Times New Roman"/>
                <w:bCs/>
                <w:sz w:val="24"/>
              </w:rPr>
              <w:t>修改完善自查情况表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tblHeader/>
        </w:trPr>
        <w:tc>
          <w:tcPr>
            <w:tcW w:w="746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ascii="Times New Roman" w:hAnsi="Times New Roman" w:eastAsia="黑体"/>
                <w:bCs/>
                <w:sz w:val="24"/>
              </w:rPr>
            </w:pPr>
            <w:r>
              <w:rPr>
                <w:rFonts w:hint="eastAsia" w:ascii="Times New Roman" w:hAnsi="Times New Roman" w:eastAsia="黑体"/>
                <w:bCs/>
                <w:sz w:val="24"/>
              </w:rPr>
              <w:t>评审意见</w:t>
            </w:r>
          </w:p>
        </w:tc>
        <w:tc>
          <w:tcPr>
            <w:tcW w:w="6648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spacing w:line="460" w:lineRule="exact"/>
              <w:jc w:val="center"/>
              <w:rPr>
                <w:rFonts w:ascii="Times New Roman" w:hAnsi="Times New Roman" w:eastAsia="黑体"/>
                <w:bCs/>
                <w:sz w:val="24"/>
              </w:rPr>
            </w:pPr>
            <w:r>
              <w:rPr>
                <w:rFonts w:hint="eastAsia" w:ascii="Times New Roman" w:hAnsi="Times New Roman" w:eastAsia="黑体"/>
                <w:bCs/>
                <w:sz w:val="24"/>
              </w:rPr>
              <w:t>修改完善的具体措施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培养目标需进一步凝练。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“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具有系统专业知识和高水平艺术技能的高层次、应用型专门人才。”改为：具有系统专业知识和一定水平艺术技能的应用型专门人才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较为实际。</w:t>
            </w:r>
          </w:p>
        </w:tc>
        <w:tc>
          <w:tcPr>
            <w:tcW w:w="6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hAnsi="宋体"/>
                <w:kern w:val="0"/>
                <w:szCs w:val="21"/>
                <w:lang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音乐学是一门专业性很强的学科，相对而言，它与艺术学下的各学科的融合度较高，因此，建议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  <w:t>该专业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跨学科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  <w:t>课程的设置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应考虑其专业的特殊性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6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hAnsi="宋体"/>
                <w:kern w:val="0"/>
                <w:szCs w:val="21"/>
                <w:lang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“</w:t>
            </w:r>
            <w:r>
              <w:rPr>
                <w:rFonts w:hint="eastAsia"/>
                <w:b/>
                <w:bCs/>
                <w:color w:val="000000"/>
                <w:kern w:val="2"/>
                <w:sz w:val="24"/>
                <w:szCs w:val="24"/>
              </w:rPr>
              <w:t>培养目标（标准）、毕业要求与课程体系关系表</w:t>
            </w:r>
            <w:r>
              <w:rPr>
                <w:rFonts w:hint="eastAsia"/>
                <w:b/>
                <w:bCs/>
                <w:color w:val="000000"/>
                <w:kern w:val="2"/>
                <w:sz w:val="24"/>
                <w:szCs w:val="24"/>
                <w:lang w:eastAsia="zh-CN"/>
              </w:rPr>
              <w:t>”需要梳理、完善。</w:t>
            </w:r>
            <w:r>
              <w:rPr>
                <w:rFonts w:hint="eastAsia"/>
                <w:b w:val="0"/>
                <w:bCs w:val="0"/>
                <w:color w:val="000000"/>
                <w:kern w:val="2"/>
                <w:sz w:val="24"/>
                <w:szCs w:val="24"/>
                <w:lang w:eastAsia="zh-CN"/>
              </w:rPr>
              <w:t>（</w:t>
            </w:r>
            <w:r>
              <w:rPr>
                <w:rFonts w:hint="eastAsia"/>
                <w:b w:val="0"/>
                <w:bCs w:val="0"/>
                <w:color w:val="000000"/>
                <w:kern w:val="2"/>
                <w:sz w:val="24"/>
                <w:szCs w:val="24"/>
                <w:lang w:val="en-US" w:eastAsia="zh-CN"/>
              </w:rPr>
              <w:t>1）总体上，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毕业要求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充分体现专业核心内容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全面反映人才培养目标内涵；指标点应全面覆盖毕业要求。应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注意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逻辑性和递进性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，避免毕业要求之间、指标点之间内涵的重复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,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避免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毕业要求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与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课程设置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之间的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剥离。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both"/>
              <w:textAlignment w:val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2）“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培养目标（标准）、毕业要求与课程体系关系表”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中的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“毕业要求”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应该对应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  <w:t>第二部分“二、毕业要求”的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  <w:t>8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  <w:t>条，而不是2条。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“关系表”中的毕业要求应与“二、毕业要求”的一致；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 w:right="0" w:rightChars="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）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eastAsia="zh-CN"/>
              </w:rPr>
              <w:t>要将培养方案中每一门课程（含实践环节）列入关系表中，体现每一门课程对培养目标、毕业要求的</w:t>
            </w:r>
            <w:r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eastAsia="zh-CN"/>
              </w:rPr>
              <w:t>支撑和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eastAsia="zh-CN"/>
              </w:rPr>
              <w:t>贡献度。</w:t>
            </w:r>
            <w:r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eastAsia="zh-CN"/>
              </w:rPr>
              <w:t>如果不列全，也就意味着有些课程是不支撑毕业要求和培养目标的。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 w:right="0" w:right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）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eastAsia="zh-CN"/>
              </w:rPr>
              <w:t>关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eastAsia="zh-CN"/>
              </w:rPr>
              <w:t>系表中所列课程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eastAsia="zh-CN"/>
              </w:rPr>
              <w:t>要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eastAsia="zh-CN"/>
              </w:rPr>
              <w:t>全面支撑指标点内涵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eastAsia="zh-CN"/>
              </w:rPr>
              <w:t>同一门课程可以支撑多个指标点和毕业要求</w:t>
            </w:r>
            <w:r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eastAsia="zh-CN"/>
              </w:rPr>
              <w:t>建议将关系表进一步梳理、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/>
              </w:rPr>
              <w:t>完善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6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hAnsi="宋体"/>
                <w:kern w:val="0"/>
                <w:szCs w:val="21"/>
                <w:lang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专业核心课程中提到“复调”这门课程，但是课程设置表中没有找到相关的课程。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  <w:t>注意前后一致。</w:t>
            </w:r>
          </w:p>
        </w:tc>
        <w:tc>
          <w:tcPr>
            <w:tcW w:w="6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5.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专业核心课程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  <w:t>的“和声学”，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严格的传统四声部 “和声学”写作适合专业音乐学院作曲系的学生，不适合面向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  <w:t>学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校所有音乐学生开设。如果有新的教学方法，建议改名“应用和声学”。</w:t>
            </w:r>
          </w:p>
        </w:tc>
        <w:tc>
          <w:tcPr>
            <w:tcW w:w="6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6.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器乐方向中显示“钢琴即兴伴奏”学科只有2学分，又缺少钢琴基础课的支撑，不合理。建议增加至4学分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6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7.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  <w:t>音乐教育方向，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如果是培养合格的中小学音乐老师，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  <w:t>建议开设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咏叹调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  <w:t>课程，帮助学生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唱好中国歌、唱好通俗歌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  <w:t>，因为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中小学课堂使用最多的是“美通”和“民通”，纯美声或纯民族唱法不适合中小学音乐教育。</w:t>
            </w:r>
          </w:p>
        </w:tc>
        <w:tc>
          <w:tcPr>
            <w:tcW w:w="6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8.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  <w:t>音乐教育方向，在实践环节应开设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教育实习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6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9.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专业实践教学设置所占比例偏低，且部分课程学期安排欠合理。建议《学生舞台实践》第1-4学期开设；《毕业实习》安排在第7学期；《专业创新综合实践：毕业音乐会》安排在第8学期。</w:t>
            </w:r>
          </w:p>
        </w:tc>
        <w:tc>
          <w:tcPr>
            <w:tcW w:w="6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10.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学科专业拓展课学分过少，设置的课程数量过少，学生的选课空间非常有限，建议增设一些课程，</w:t>
            </w:r>
            <w:r>
              <w:rPr>
                <w:rFonts w:ascii="宋体" w:hAnsi="宋体" w:eastAsia="宋体" w:cs="宋体"/>
                <w:bCs/>
                <w:sz w:val="24"/>
                <w:szCs w:val="24"/>
                <w:lang w:val="zh-TW" w:eastAsia="zh-TW"/>
              </w:rPr>
              <w:t>满足学生就业、考研和跨学科发展的多样化需求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val="zh-TW" w:eastAsia="zh-CN"/>
              </w:rPr>
              <w:t>。</w:t>
            </w:r>
          </w:p>
        </w:tc>
        <w:tc>
          <w:tcPr>
            <w:tcW w:w="6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11.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不能将“</w:t>
            </w:r>
            <w:r>
              <w:rPr>
                <w:rFonts w:hint="eastAsia" w:ascii="宋体" w:hAnsi="宋体" w:eastAsia="宋体" w:cs="宋体"/>
                <w:color w:val="000000"/>
                <w:spacing w:val="8"/>
                <w:sz w:val="24"/>
                <w:szCs w:val="24"/>
              </w:rPr>
              <w:t>毕业音乐会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”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等同于学校要求的“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专业创新创业综合实践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”,应根据各专业实际，结合《广东海洋大学本科生创新创业实践学分认定管理办法》(校教务〔2017〕101号)，设置独立的“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专业创新创业综合实践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”实践课程，并制订具体实施细则。</w:t>
            </w:r>
          </w:p>
        </w:tc>
        <w:tc>
          <w:tcPr>
            <w:tcW w:w="6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</w:tbl>
    <w:p>
      <w:pPr>
        <w:jc w:val="center"/>
      </w:pPr>
      <w:r>
        <w:rPr>
          <w:rFonts w:hint="eastAsia" w:ascii="宋体" w:hAnsi="宋体"/>
          <w:bCs/>
          <w:sz w:val="24"/>
        </w:rPr>
        <w:t>执笔人：</w:t>
      </w:r>
      <w:r>
        <w:rPr>
          <w:rFonts w:ascii="宋体" w:hAnsi="宋体"/>
          <w:bCs/>
          <w:sz w:val="24"/>
        </w:rPr>
        <w:t xml:space="preserve">                             </w:t>
      </w:r>
      <w:r>
        <w:rPr>
          <w:rFonts w:hint="eastAsia" w:ascii="宋体" w:hAnsi="宋体"/>
          <w:bCs/>
          <w:sz w:val="24"/>
          <w:lang w:val="en-US" w:eastAsia="zh-CN"/>
        </w:rPr>
        <w:t xml:space="preserve">                         </w:t>
      </w:r>
      <w:r>
        <w:rPr>
          <w:rFonts w:hint="eastAsia" w:ascii="宋体" w:hAnsi="宋体"/>
          <w:bCs/>
          <w:sz w:val="24"/>
        </w:rPr>
        <w:t>时间：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 </w:t>
      </w:r>
      <w:r>
        <w:rPr>
          <w:rFonts w:hint="eastAsia" w:ascii="宋体" w:hAnsi="宋体"/>
          <w:bCs/>
          <w:sz w:val="24"/>
        </w:rPr>
        <w:t>年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</w:rPr>
        <w:t>月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</w:rPr>
        <w:t>日</w:t>
      </w:r>
    </w:p>
    <w:sectPr>
      <w:pgSz w:w="16838" w:h="11906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行楷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汉仪书宋二简">
    <w:altName w:val="SimSun-ExtB"/>
    <w:panose1 w:val="00000000000000000000"/>
    <w:charset w:val="86"/>
    <w:family w:val="modern"/>
    <w:pitch w:val="default"/>
    <w:sig w:usb0="00000000" w:usb1="00000000" w:usb2="00000012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方正书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他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瀹嬩綋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American Typewriter">
    <w:altName w:val="MV Boli"/>
    <w:panose1 w:val="00000000000000000000"/>
    <w:charset w:val="00"/>
    <w:family w:val="auto"/>
    <w:pitch w:val="default"/>
    <w:sig w:usb0="00000000" w:usb1="00000000" w:usb2="00000000" w:usb3="00000000" w:csb0="0000011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宋黑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MV Boli">
    <w:panose1 w:val="02000500030200090000"/>
    <w:charset w:val="00"/>
    <w:family w:val="auto"/>
    <w:pitch w:val="default"/>
    <w:sig w:usb0="00000003" w:usb1="00000000" w:usb2="00000100" w:usb3="00000000" w:csb0="0000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A97586"/>
    <w:rsid w:val="010E3A83"/>
    <w:rsid w:val="06B86671"/>
    <w:rsid w:val="07533E9D"/>
    <w:rsid w:val="07ED2627"/>
    <w:rsid w:val="0AE47EBC"/>
    <w:rsid w:val="0C1B4C2C"/>
    <w:rsid w:val="0C245C9C"/>
    <w:rsid w:val="0E6E385D"/>
    <w:rsid w:val="0EA86D90"/>
    <w:rsid w:val="102C0A0F"/>
    <w:rsid w:val="117201E8"/>
    <w:rsid w:val="117E3F4D"/>
    <w:rsid w:val="119909E7"/>
    <w:rsid w:val="12DB5170"/>
    <w:rsid w:val="16C47058"/>
    <w:rsid w:val="17830759"/>
    <w:rsid w:val="1AE61066"/>
    <w:rsid w:val="1BDB6B4F"/>
    <w:rsid w:val="204E2E4D"/>
    <w:rsid w:val="224668AD"/>
    <w:rsid w:val="22A56461"/>
    <w:rsid w:val="23C55634"/>
    <w:rsid w:val="26E14A51"/>
    <w:rsid w:val="286315C3"/>
    <w:rsid w:val="28A97586"/>
    <w:rsid w:val="2BB96F1F"/>
    <w:rsid w:val="2BE447B2"/>
    <w:rsid w:val="2EF53201"/>
    <w:rsid w:val="2EFC1D06"/>
    <w:rsid w:val="2FA40A26"/>
    <w:rsid w:val="32CF4094"/>
    <w:rsid w:val="32FB561D"/>
    <w:rsid w:val="339F1CCA"/>
    <w:rsid w:val="33A81B5C"/>
    <w:rsid w:val="3A13386D"/>
    <w:rsid w:val="3FC10002"/>
    <w:rsid w:val="40362E40"/>
    <w:rsid w:val="405C2FAB"/>
    <w:rsid w:val="41FC6CE1"/>
    <w:rsid w:val="4200142C"/>
    <w:rsid w:val="44547735"/>
    <w:rsid w:val="45351B7E"/>
    <w:rsid w:val="466E4269"/>
    <w:rsid w:val="467961A3"/>
    <w:rsid w:val="47CE0469"/>
    <w:rsid w:val="4D8F6D71"/>
    <w:rsid w:val="51FE4AD9"/>
    <w:rsid w:val="52963093"/>
    <w:rsid w:val="537A24F9"/>
    <w:rsid w:val="57A530DF"/>
    <w:rsid w:val="581919D7"/>
    <w:rsid w:val="590B752E"/>
    <w:rsid w:val="5A8A533A"/>
    <w:rsid w:val="5C3E6532"/>
    <w:rsid w:val="607654DC"/>
    <w:rsid w:val="630A4728"/>
    <w:rsid w:val="68796044"/>
    <w:rsid w:val="6AEB4794"/>
    <w:rsid w:val="6B1F12DC"/>
    <w:rsid w:val="6E517661"/>
    <w:rsid w:val="712850BB"/>
    <w:rsid w:val="72552A18"/>
    <w:rsid w:val="7560229C"/>
    <w:rsid w:val="75E12EAE"/>
    <w:rsid w:val="76413CF9"/>
    <w:rsid w:val="7790026F"/>
    <w:rsid w:val="77997E4F"/>
    <w:rsid w:val="77C27E57"/>
    <w:rsid w:val="7A221B81"/>
    <w:rsid w:val="7C4F0886"/>
    <w:rsid w:val="7C9F2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2017-12-21T13:46:00Z</dcterms:created>
  <dc:creator>Administrator</dc:creator>
  <cp:lastModifiedBy>Administrator</cp:lastModifiedBy>
  <cp:lastPrinted>2017-12-22T00:08:00Z</cp:lastPrinted>
  <dcterms:modified xsi:type="dcterms:W3CDTF">2017-12-25T13:46:56Z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