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关于组织制订辅修专业人才培养方案的通知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各教学单位：</w:t>
      </w:r>
    </w:p>
    <w:p>
      <w:pPr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为进一步推进学分制改革，完善我校本科人才培养体系，适应经济社会发展对跨学科跨专业人才需求，根据《广东海洋大学学分制改革实施意见》（广海大党〔2016〕97号）《广东海洋大学本科教学建设改革与人才培养行动方案》（广海大党〔2018〕95号）</w:t>
      </w:r>
      <w:r>
        <w:rPr>
          <w:rFonts w:hint="eastAsia" w:ascii="Times New Roman" w:hAnsi="Times New Roman" w:cs="Times New Roman"/>
          <w:lang w:val="en-US" w:eastAsia="zh-CN"/>
        </w:rPr>
        <w:t>《广东海洋大学关于学分制人才培养方案修订工作的指导意见（校教务〔2017〕2号）》</w:t>
      </w:r>
      <w:r>
        <w:rPr>
          <w:rFonts w:hint="default" w:ascii="Times New Roman" w:hAnsi="Times New Roman" w:cs="Times New Roman"/>
          <w:lang w:val="en-US" w:eastAsia="zh-CN"/>
        </w:rPr>
        <w:t>等文件精神，</w:t>
      </w:r>
      <w:r>
        <w:rPr>
          <w:rFonts w:hint="eastAsia" w:ascii="Times New Roman" w:hAnsi="Times New Roman" w:cs="Times New Roman"/>
          <w:lang w:val="en-US" w:eastAsia="zh-CN"/>
        </w:rPr>
        <w:t>经</w:t>
      </w:r>
      <w:r>
        <w:rPr>
          <w:rFonts w:hint="default" w:ascii="Times New Roman" w:hAnsi="Times New Roman" w:cs="Times New Roman"/>
          <w:lang w:val="en-US" w:eastAsia="zh-CN"/>
        </w:rPr>
        <w:t>学校研究</w:t>
      </w:r>
      <w:r>
        <w:rPr>
          <w:rFonts w:hint="eastAsia" w:ascii="Times New Roman" w:hAnsi="Times New Roman" w:cs="Times New Roman"/>
          <w:lang w:val="en-US" w:eastAsia="zh-CN"/>
        </w:rPr>
        <w:t>，现</w:t>
      </w:r>
      <w:r>
        <w:rPr>
          <w:rFonts w:hint="default" w:ascii="Times New Roman" w:hAnsi="Times New Roman" w:cs="Times New Roman"/>
          <w:lang w:val="en-US" w:eastAsia="zh-CN"/>
        </w:rPr>
        <w:t>组织制订辅修专业人才培养方案。</w:t>
      </w:r>
      <w:r>
        <w:rPr>
          <w:rFonts w:hint="eastAsia" w:ascii="Times New Roman" w:hAnsi="Times New Roman" w:cs="Times New Roman"/>
          <w:lang w:val="en-US" w:eastAsia="zh-CN"/>
        </w:rPr>
        <w:t>有关要求如下：</w:t>
      </w:r>
    </w:p>
    <w:p>
      <w:pPr>
        <w:numPr>
          <w:ilvl w:val="0"/>
          <w:numId w:val="0"/>
        </w:numPr>
        <w:ind w:firstLine="422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一、专业范围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全校所有本科专业</w:t>
      </w:r>
      <w:r>
        <w:rPr>
          <w:rFonts w:hint="eastAsia" w:ascii="Times New Roman" w:hAnsi="Times New Roman" w:cs="Times New Roman"/>
          <w:lang w:val="en-US" w:eastAsia="zh-CN"/>
        </w:rPr>
        <w:t>（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学校已发文公布2017版辅修专业/双学位人才培养方案的英语、法学、工商管理、财务管理、会计学等5个专业，本次无需修订</w:t>
      </w:r>
      <w:r>
        <w:rPr>
          <w:rFonts w:hint="eastAsia" w:ascii="Times New Roman" w:hAnsi="Times New Roman" w:cs="Times New Roman"/>
          <w:lang w:val="en-US" w:eastAsia="zh-CN"/>
        </w:rPr>
        <w:t>），均须制订本专业的辅修人才培养方案。</w:t>
      </w:r>
    </w:p>
    <w:p>
      <w:pPr>
        <w:numPr>
          <w:ilvl w:val="0"/>
          <w:numId w:val="0"/>
        </w:numPr>
        <w:ind w:firstLine="422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二、指导思想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以“创新、协调、绿色、开放、共享”五大发展理念为指导，以需求为导向，坚持立德树人，积极创新教学管理模式和人才培养模式，实现教学资源的优化配置，加强师德师风和学风建设，不断提高人才培养能力，培养</w:t>
      </w:r>
      <w:r>
        <w:rPr>
          <w:rFonts w:ascii="仿宋_GB2312" w:hAnsi="仿宋_GB2312" w:cs="仿宋_GB2312"/>
          <w:szCs w:val="28"/>
        </w:rPr>
        <w:t>“一专多能”复合型人才</w:t>
      </w:r>
      <w:r>
        <w:rPr>
          <w:rFonts w:hint="eastAsia" w:ascii="Times New Roman" w:hAnsi="Times New Roman" w:cs="Times New Roman"/>
          <w:lang w:val="en-US" w:eastAsia="zh-CN"/>
        </w:rPr>
        <w:t>，服务国家海洋事业和地方经济社会发展。</w:t>
      </w:r>
    </w:p>
    <w:p>
      <w:pPr>
        <w:numPr>
          <w:ilvl w:val="0"/>
          <w:numId w:val="0"/>
        </w:numPr>
        <w:ind w:firstLine="422" w:firstLineChars="20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学制</w:t>
      </w: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辅修专业基本学制</w:t>
      </w:r>
      <w:r>
        <w:rPr>
          <w:rFonts w:hint="eastAsia" w:ascii="Times New Roman" w:hAnsi="Times New Roman" w:cs="Times New Roman"/>
          <w:lang w:val="en-US" w:eastAsia="zh-CN"/>
        </w:rPr>
        <w:t>为两</w:t>
      </w:r>
      <w:r>
        <w:rPr>
          <w:rFonts w:hint="default" w:ascii="Times New Roman" w:hAnsi="Times New Roman" w:cs="Times New Roman"/>
          <w:lang w:val="en-US" w:eastAsia="zh-CN"/>
        </w:rPr>
        <w:t>年。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实行弹性修业年限，学习期限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2-6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年。</w:t>
      </w:r>
    </w:p>
    <w:p>
      <w:pPr>
        <w:ind w:firstLine="422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四、课程设置</w:t>
      </w:r>
    </w:p>
    <w:p>
      <w:pPr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各专业应</w:t>
      </w:r>
      <w:r>
        <w:rPr>
          <w:rFonts w:hint="default" w:ascii="Times New Roman" w:hAnsi="Times New Roman" w:cs="Times New Roman"/>
          <w:lang w:val="en-US" w:eastAsia="zh-CN"/>
        </w:rPr>
        <w:t>根据</w:t>
      </w:r>
      <w:r>
        <w:rPr>
          <w:rFonts w:hint="eastAsia" w:ascii="Times New Roman" w:hAnsi="Times New Roman" w:cs="Times New Roman"/>
          <w:lang w:val="en-US" w:eastAsia="zh-CN"/>
        </w:rPr>
        <w:t>学校</w:t>
      </w:r>
      <w:r>
        <w:rPr>
          <w:rFonts w:hint="default" w:ascii="Times New Roman" w:hAnsi="Times New Roman" w:cs="Times New Roman"/>
          <w:lang w:val="en-US" w:eastAsia="zh-CN"/>
        </w:rPr>
        <w:t>2017版本科人才培养方案，制定</w:t>
      </w:r>
      <w:r>
        <w:rPr>
          <w:rFonts w:hint="eastAsia" w:ascii="Times New Roman" w:hAnsi="Times New Roman" w:cs="Times New Roman"/>
          <w:lang w:val="en-US" w:eastAsia="zh-CN"/>
        </w:rPr>
        <w:t>本</w:t>
      </w:r>
      <w:r>
        <w:rPr>
          <w:rFonts w:hint="default" w:ascii="Times New Roman" w:hAnsi="Times New Roman" w:cs="Times New Roman"/>
          <w:lang w:val="en-US" w:eastAsia="zh-CN"/>
        </w:rPr>
        <w:t>专业</w:t>
      </w:r>
      <w:r>
        <w:rPr>
          <w:rFonts w:hint="eastAsia" w:ascii="Times New Roman" w:hAnsi="Times New Roman" w:cs="Times New Roman"/>
          <w:lang w:val="en-US" w:eastAsia="zh-CN"/>
        </w:rPr>
        <w:t>的</w:t>
      </w:r>
      <w:r>
        <w:rPr>
          <w:rFonts w:hint="default" w:ascii="Times New Roman" w:hAnsi="Times New Roman" w:cs="Times New Roman"/>
          <w:lang w:val="en-US" w:eastAsia="zh-CN"/>
        </w:rPr>
        <w:t>辅修专业人才培养方案。</w:t>
      </w:r>
      <w:r>
        <w:rPr>
          <w:rFonts w:hint="eastAsia" w:ascii="Times New Roman" w:hAnsi="Times New Roman" w:cs="Times New Roman"/>
          <w:lang w:val="en-US" w:eastAsia="zh-CN"/>
        </w:rPr>
        <w:t>辅修专业</w:t>
      </w:r>
      <w:r>
        <w:rPr>
          <w:rFonts w:hint="default" w:ascii="Times New Roman" w:hAnsi="Times New Roman" w:cs="Times New Roman"/>
          <w:lang w:val="en-US" w:eastAsia="zh-CN"/>
        </w:rPr>
        <w:t>所开设的课程</w:t>
      </w:r>
      <w:r>
        <w:rPr>
          <w:rFonts w:hint="eastAsia" w:ascii="Times New Roman" w:hAnsi="Times New Roman" w:cs="Times New Roman"/>
          <w:lang w:val="en-US" w:eastAsia="zh-CN"/>
        </w:rPr>
        <w:t>要</w:t>
      </w:r>
      <w:r>
        <w:rPr>
          <w:rFonts w:hint="default" w:ascii="Times New Roman" w:hAnsi="Times New Roman" w:cs="Times New Roman"/>
          <w:lang w:val="en-US" w:eastAsia="zh-CN"/>
        </w:rPr>
        <w:t>能够比较系统地反映本专业的基础理论、基本知识和基本技能</w:t>
      </w:r>
      <w:r>
        <w:rPr>
          <w:rFonts w:hint="eastAsia" w:ascii="Times New Roman" w:hAnsi="Times New Roman" w:cs="Times New Roman"/>
          <w:lang w:val="en-US" w:eastAsia="zh-CN"/>
        </w:rPr>
        <w:t>，可由理论课程及实践环节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组成，应包含教育部</w:t>
      </w:r>
      <w:r>
        <w:rPr>
          <w:rFonts w:hint="default" w:ascii="Times New Roman" w:hAnsi="Times New Roman" w:cs="Times New Roman"/>
          <w:lang w:val="en-US" w:eastAsia="zh-CN"/>
        </w:rPr>
        <w:t>《普通高等学校本科专业类教学质量国家标准》</w:t>
      </w:r>
      <w:r>
        <w:rPr>
          <w:rFonts w:hint="eastAsia" w:ascii="Times New Roman" w:hAnsi="Times New Roman" w:cs="Times New Roman"/>
          <w:lang w:val="en-US" w:eastAsia="zh-CN"/>
        </w:rPr>
        <w:t>规定的核心课程。辅修课程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的学时学分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原则上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应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与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本专业2017版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人才培养方案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相应课程保持一致。辅修专</w:t>
      </w:r>
      <w:r>
        <w:rPr>
          <w:rFonts w:hint="eastAsia" w:ascii="Times New Roman" w:hAnsi="Times New Roman" w:cs="Times New Roman"/>
          <w:lang w:val="en-US" w:eastAsia="zh-CN"/>
        </w:rPr>
        <w:t>业课程总学分</w:t>
      </w:r>
      <w:r>
        <w:rPr>
          <w:rFonts w:hint="default" w:ascii="Times New Roman" w:hAnsi="Times New Roman" w:cs="Times New Roman"/>
          <w:lang w:val="en-US" w:eastAsia="zh-CN"/>
        </w:rPr>
        <w:t>[不包括毕业论文（设计）]合计40学分</w:t>
      </w:r>
      <w:r>
        <w:rPr>
          <w:rFonts w:hint="eastAsia" w:ascii="Times New Roman" w:hAnsi="Times New Roman" w:cs="Times New Roman"/>
          <w:lang w:val="en-US" w:eastAsia="zh-CN"/>
        </w:rPr>
        <w:t>。另外设置</w:t>
      </w:r>
      <w:r>
        <w:rPr>
          <w:rFonts w:hint="default" w:ascii="Times New Roman" w:hAnsi="Times New Roman" w:cs="Times New Roman"/>
          <w:lang w:val="en-US" w:eastAsia="zh-CN"/>
        </w:rPr>
        <w:t>5学分6周的毕业论文（设计）</w:t>
      </w:r>
      <w:r>
        <w:rPr>
          <w:rFonts w:hint="eastAsia" w:ascii="Times New Roman" w:hAnsi="Times New Roman" w:cs="Times New Roman"/>
          <w:lang w:val="en-US" w:eastAsia="zh-CN"/>
        </w:rPr>
        <w:t>，作为辅修专业的双学位课程</w:t>
      </w:r>
      <w:r>
        <w:rPr>
          <w:rFonts w:hint="default" w:ascii="Times New Roman" w:hAnsi="Times New Roman" w:cs="Times New Roman"/>
          <w:lang w:val="en-US" w:eastAsia="zh-CN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right="0" w:rightChars="0" w:firstLine="422" w:firstLineChars="200"/>
        <w:jc w:val="left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五、教学计划安排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right="0" w:rightChars="0" w:firstLine="42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辅修专业所有课程均安排在四个学期内完成，每学期安排的课程学分数原则上不高于15学分。辅修专业课程教学要求</w:t>
      </w:r>
      <w:r>
        <w:rPr>
          <w:rFonts w:hint="eastAsia" w:ascii="Times New Roman" w:hAnsi="Times New Roman" w:cs="Times New Roman"/>
          <w:lang w:val="en-US" w:eastAsia="zh-CN"/>
        </w:rPr>
        <w:t>不得低于本</w:t>
      </w:r>
      <w:r>
        <w:rPr>
          <w:rFonts w:hint="default" w:ascii="Times New Roman" w:hAnsi="Times New Roman" w:cs="Times New Roman"/>
          <w:lang w:val="en-US" w:eastAsia="zh-CN"/>
        </w:rPr>
        <w:t>专业</w:t>
      </w:r>
      <w:r>
        <w:rPr>
          <w:rFonts w:hint="eastAsia" w:ascii="Times New Roman" w:hAnsi="Times New Roman" w:cs="Times New Roman"/>
          <w:lang w:val="en-US" w:eastAsia="zh-CN"/>
        </w:rPr>
        <w:t>要求</w:t>
      </w:r>
      <w:r>
        <w:rPr>
          <w:rFonts w:hint="default" w:ascii="Times New Roman" w:hAnsi="Times New Roman" w:cs="Times New Roman"/>
          <w:lang w:val="en-US" w:eastAsia="zh-CN"/>
        </w:rPr>
        <w:t>，并严格按照人才培养方案执行。</w:t>
      </w:r>
    </w:p>
    <w:p>
      <w:pPr>
        <w:ind w:firstLine="422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六、毕业及授予学位要求</w:t>
      </w:r>
    </w:p>
    <w:p>
      <w:pPr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学生修满40学分</w:t>
      </w:r>
      <w:r>
        <w:rPr>
          <w:rFonts w:hint="eastAsia" w:ascii="Times New Roman" w:hAnsi="Times New Roman" w:cs="Times New Roman"/>
          <w:lang w:val="en-US" w:eastAsia="zh-CN"/>
        </w:rPr>
        <w:t>辅修专业课程</w:t>
      </w:r>
      <w:r>
        <w:rPr>
          <w:rFonts w:hint="default" w:ascii="Times New Roman" w:hAnsi="Times New Roman" w:cs="Times New Roman"/>
          <w:lang w:val="en-US" w:eastAsia="zh-CN"/>
        </w:rPr>
        <w:t>，可获得学校颁发的</w:t>
      </w:r>
      <w:r>
        <w:rPr>
          <w:rFonts w:hint="eastAsia" w:ascii="Times New Roman" w:hAnsi="Times New Roman" w:cs="Times New Roman"/>
          <w:lang w:val="en-US" w:eastAsia="zh-CN"/>
        </w:rPr>
        <w:t>专业</w:t>
      </w:r>
      <w:r>
        <w:rPr>
          <w:rFonts w:hint="default" w:ascii="Times New Roman" w:hAnsi="Times New Roman" w:cs="Times New Roman"/>
          <w:lang w:val="en-US" w:eastAsia="zh-CN"/>
        </w:rPr>
        <w:t>辅修毕业证书</w:t>
      </w:r>
      <w:r>
        <w:rPr>
          <w:rFonts w:hint="eastAsia" w:ascii="Times New Roman" w:hAnsi="Times New Roman" w:cs="Times New Roman"/>
          <w:lang w:val="en-US"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t>在此基础上完成</w:t>
      </w:r>
      <w:r>
        <w:rPr>
          <w:rFonts w:hint="eastAsia" w:ascii="Times New Roman" w:hAnsi="Times New Roman" w:cs="Times New Roman"/>
          <w:lang w:val="en-US" w:eastAsia="zh-CN"/>
        </w:rPr>
        <w:t>5学分</w:t>
      </w:r>
      <w:r>
        <w:rPr>
          <w:rFonts w:hint="default" w:ascii="Times New Roman" w:hAnsi="Times New Roman" w:cs="Times New Roman"/>
          <w:lang w:val="en-US" w:eastAsia="zh-CN"/>
        </w:rPr>
        <w:t>6周</w:t>
      </w:r>
      <w:r>
        <w:rPr>
          <w:rFonts w:hint="eastAsia" w:ascii="Times New Roman" w:hAnsi="Times New Roman" w:cs="Times New Roman"/>
          <w:lang w:val="en-US" w:eastAsia="zh-CN"/>
        </w:rPr>
        <w:t>的</w:t>
      </w:r>
      <w:r>
        <w:rPr>
          <w:rFonts w:hint="default" w:ascii="Times New Roman" w:hAnsi="Times New Roman" w:cs="Times New Roman"/>
          <w:lang w:val="en-US" w:eastAsia="zh-CN"/>
        </w:rPr>
        <w:t>毕业论文（设计）</w:t>
      </w:r>
      <w:r>
        <w:rPr>
          <w:rFonts w:hint="eastAsia" w:ascii="Times New Roman" w:hAnsi="Times New Roman" w:cs="Times New Roman"/>
          <w:lang w:val="en-US" w:eastAsia="zh-CN"/>
        </w:rPr>
        <w:t>并通过答辩</w:t>
      </w:r>
      <w:r>
        <w:rPr>
          <w:rFonts w:hint="default" w:ascii="Times New Roman" w:hAnsi="Times New Roman" w:cs="Times New Roman"/>
          <w:lang w:val="en-US" w:eastAsia="zh-CN"/>
        </w:rPr>
        <w:t>，可获得专业双学位证书。</w:t>
      </w:r>
    </w:p>
    <w:p>
      <w:pPr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七、组织实施要求</w:t>
      </w:r>
    </w:p>
    <w:p>
      <w:pPr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</w:t>
      </w:r>
      <w:r>
        <w:rPr>
          <w:rFonts w:hint="eastAsia" w:ascii="Times New Roman" w:hAnsi="Times New Roman" w:cs="Times New Roman"/>
          <w:lang w:val="en-US" w:eastAsia="zh-CN"/>
        </w:rPr>
        <w:t>学院组织</w:t>
      </w:r>
      <w:r>
        <w:rPr>
          <w:rFonts w:hint="default" w:ascii="Times New Roman" w:hAnsi="Times New Roman" w:cs="Times New Roman"/>
          <w:lang w:val="en-US" w:eastAsia="zh-CN"/>
        </w:rPr>
        <w:t>调研论证。</w:t>
      </w:r>
      <w:r>
        <w:rPr>
          <w:rFonts w:hint="eastAsia" w:ascii="Times New Roman" w:hAnsi="Times New Roman" w:cs="Times New Roman"/>
          <w:lang w:val="en-US" w:eastAsia="zh-CN"/>
        </w:rPr>
        <w:t>学院统筹组织各专业开展</w:t>
      </w:r>
      <w:r>
        <w:rPr>
          <w:rFonts w:hint="default" w:ascii="Times New Roman" w:hAnsi="Times New Roman" w:cs="Times New Roman"/>
          <w:lang w:val="en-US" w:eastAsia="zh-CN"/>
        </w:rPr>
        <w:t>调研</w:t>
      </w:r>
      <w:r>
        <w:rPr>
          <w:rFonts w:hint="eastAsia" w:ascii="Times New Roman" w:hAnsi="Times New Roman" w:cs="Times New Roman"/>
          <w:lang w:val="en-US" w:eastAsia="zh-CN"/>
        </w:rPr>
        <w:t>和</w:t>
      </w:r>
      <w:r>
        <w:rPr>
          <w:rFonts w:hint="default" w:ascii="Times New Roman" w:hAnsi="Times New Roman" w:cs="Times New Roman"/>
          <w:lang w:val="en-US" w:eastAsia="zh-CN"/>
        </w:rPr>
        <w:t>专题研讨</w:t>
      </w:r>
      <w:r>
        <w:rPr>
          <w:rFonts w:hint="eastAsia" w:ascii="Times New Roman" w:hAnsi="Times New Roman" w:cs="Times New Roman"/>
          <w:lang w:val="en-US" w:eastAsia="zh-CN"/>
        </w:rPr>
        <w:t>，充分征求教师意见，拟定</w:t>
      </w:r>
      <w:r>
        <w:rPr>
          <w:rFonts w:hint="default" w:ascii="Times New Roman" w:hAnsi="Times New Roman" w:cs="Times New Roman"/>
          <w:lang w:val="en-US" w:eastAsia="zh-CN"/>
        </w:rPr>
        <w:t>辅修专业</w:t>
      </w:r>
      <w:r>
        <w:rPr>
          <w:rFonts w:hint="eastAsia" w:ascii="Times New Roman" w:hAnsi="Times New Roman" w:cs="Times New Roman"/>
          <w:lang w:val="en-US" w:eastAsia="zh-CN"/>
        </w:rPr>
        <w:t>培养方案，</w:t>
      </w:r>
      <w:bookmarkStart w:id="0" w:name="_GoBack"/>
      <w:bookmarkEnd w:id="0"/>
      <w:r>
        <w:rPr>
          <w:rFonts w:hint="eastAsia" w:ascii="Times New Roman" w:hAnsi="Times New Roman" w:cs="Times New Roman"/>
          <w:lang w:val="en-US" w:eastAsia="zh-CN"/>
        </w:rPr>
        <w:t>并组织审核论证</w:t>
      </w:r>
      <w:r>
        <w:rPr>
          <w:rFonts w:hint="default" w:ascii="Times New Roman" w:hAnsi="Times New Roman" w:cs="Times New Roman"/>
          <w:lang w:val="en-US" w:eastAsia="zh-CN"/>
        </w:rPr>
        <w:t>。</w:t>
      </w:r>
      <w:r>
        <w:rPr>
          <w:rFonts w:hint="eastAsia" w:ascii="Times New Roman" w:hAnsi="Times New Roman" w:cs="Times New Roman"/>
          <w:lang w:val="en-US" w:eastAsia="zh-CN"/>
        </w:rPr>
        <w:t>2018年11月30日前将本学院辅修专业人才培养方案提交教务处高教研究室（纸质版A4纸双面打印，专业负责人和教学副院长签字，加盖学院公章；电子版发送jwcgjs@126.com）。</w:t>
      </w:r>
    </w:p>
    <w:p>
      <w:pPr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2.学校审定。教务处</w:t>
      </w:r>
      <w:r>
        <w:rPr>
          <w:rFonts w:hint="eastAsia" w:ascii="Times New Roman" w:hAnsi="Times New Roman" w:cs="Times New Roman"/>
          <w:lang w:val="en-US" w:eastAsia="zh-CN"/>
        </w:rPr>
        <w:t>统筹</w:t>
      </w:r>
      <w:r>
        <w:rPr>
          <w:rFonts w:hint="default" w:ascii="Times New Roman" w:hAnsi="Times New Roman" w:cs="Times New Roman"/>
          <w:lang w:val="en-US" w:eastAsia="zh-CN"/>
        </w:rPr>
        <w:t>组织</w:t>
      </w:r>
      <w:r>
        <w:rPr>
          <w:rFonts w:hint="eastAsia" w:ascii="Times New Roman" w:hAnsi="Times New Roman" w:cs="Times New Roman"/>
          <w:lang w:val="en-US" w:eastAsia="zh-CN"/>
        </w:rPr>
        <w:t>辅修专业</w:t>
      </w:r>
      <w:r>
        <w:rPr>
          <w:rFonts w:hint="default" w:ascii="Times New Roman" w:hAnsi="Times New Roman" w:cs="Times New Roman"/>
          <w:lang w:val="en-US" w:eastAsia="zh-CN"/>
        </w:rPr>
        <w:t>人才培养方案</w:t>
      </w:r>
      <w:r>
        <w:rPr>
          <w:rFonts w:hint="eastAsia" w:ascii="Times New Roman" w:hAnsi="Times New Roman" w:cs="Times New Roman"/>
          <w:lang w:val="en-US" w:eastAsia="zh-CN"/>
        </w:rPr>
        <w:t>的形式审查，提交</w:t>
      </w:r>
      <w:r>
        <w:rPr>
          <w:rFonts w:hint="default" w:ascii="Times New Roman" w:hAnsi="Times New Roman" w:cs="Times New Roman"/>
          <w:lang w:val="en-US" w:eastAsia="zh-CN"/>
        </w:rPr>
        <w:t>学校审定</w:t>
      </w:r>
      <w:r>
        <w:rPr>
          <w:rFonts w:hint="eastAsia" w:ascii="Times New Roman" w:hAnsi="Times New Roman" w:cs="Times New Roman"/>
          <w:lang w:val="en-US" w:eastAsia="zh-CN"/>
        </w:rPr>
        <w:t>后发文公布</w:t>
      </w:r>
      <w:r>
        <w:rPr>
          <w:rFonts w:hint="default" w:ascii="Times New Roman" w:hAnsi="Times New Roman" w:cs="Times New Roman"/>
          <w:lang w:val="en-US" w:eastAsia="zh-CN"/>
        </w:rPr>
        <w:t>实施。</w:t>
      </w:r>
    </w:p>
    <w:p>
      <w:pPr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3.专业严格实施。</w:t>
      </w:r>
      <w:r>
        <w:rPr>
          <w:rFonts w:hint="eastAsia" w:ascii="Times New Roman" w:hAnsi="Times New Roman" w:cs="Times New Roman"/>
          <w:lang w:val="en-US" w:eastAsia="zh-CN"/>
        </w:rPr>
        <w:t>辅修专业</w:t>
      </w:r>
      <w:r>
        <w:rPr>
          <w:rFonts w:hint="default" w:ascii="Times New Roman" w:hAnsi="Times New Roman" w:cs="Times New Roman"/>
          <w:lang w:val="en-US" w:eastAsia="zh-CN"/>
        </w:rPr>
        <w:t>培养方案经学校审定后不得随意变更。确需优化调整的，开课单位提交《教学计划调整审批表》，经学校批准后方可变更。</w:t>
      </w:r>
    </w:p>
    <w:p>
      <w:pPr>
        <w:ind w:firstLine="42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工</w:t>
      </w:r>
      <w:r>
        <w:rPr>
          <w:rFonts w:hint="default" w:ascii="Times New Roman" w:hAnsi="Times New Roman" w:cs="Times New Roman"/>
          <w:lang w:val="en-US" w:eastAsia="zh-CN"/>
        </w:rPr>
        <w:t>作联系人：乔玉香，2383029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</w:p>
    <w:p>
      <w:pPr>
        <w:ind w:firstLine="5040" w:firstLineChars="2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教务处</w:t>
      </w:r>
    </w:p>
    <w:p>
      <w:pPr>
        <w:ind w:firstLine="4620" w:firstLineChars="2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2018年10月24日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附件：广东海洋大学辅修专业人才培养方案（模板）</w:t>
      </w:r>
    </w:p>
    <w:sectPr>
      <w:pgSz w:w="11906" w:h="16838"/>
      <w:pgMar w:top="1157" w:right="1519" w:bottom="1157" w:left="1519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B123A"/>
    <w:rsid w:val="00214D09"/>
    <w:rsid w:val="01A45808"/>
    <w:rsid w:val="01C71AC5"/>
    <w:rsid w:val="062A045D"/>
    <w:rsid w:val="0664617B"/>
    <w:rsid w:val="08F80D55"/>
    <w:rsid w:val="09672F4B"/>
    <w:rsid w:val="0B1607D0"/>
    <w:rsid w:val="0E041D2B"/>
    <w:rsid w:val="0EDE6D30"/>
    <w:rsid w:val="10F951E3"/>
    <w:rsid w:val="1724114F"/>
    <w:rsid w:val="1819550E"/>
    <w:rsid w:val="18983492"/>
    <w:rsid w:val="18BB123A"/>
    <w:rsid w:val="1AFE43BC"/>
    <w:rsid w:val="1CC873F0"/>
    <w:rsid w:val="200F63B2"/>
    <w:rsid w:val="23864D25"/>
    <w:rsid w:val="25B86A2D"/>
    <w:rsid w:val="266061D8"/>
    <w:rsid w:val="2664022F"/>
    <w:rsid w:val="2BC0700F"/>
    <w:rsid w:val="2F865983"/>
    <w:rsid w:val="30724124"/>
    <w:rsid w:val="30A3563F"/>
    <w:rsid w:val="3665748C"/>
    <w:rsid w:val="36F327C9"/>
    <w:rsid w:val="37A42273"/>
    <w:rsid w:val="40B61A0F"/>
    <w:rsid w:val="4326693A"/>
    <w:rsid w:val="48061001"/>
    <w:rsid w:val="4CF47694"/>
    <w:rsid w:val="4D8B14B8"/>
    <w:rsid w:val="54A13AE4"/>
    <w:rsid w:val="60D4389A"/>
    <w:rsid w:val="65987AED"/>
    <w:rsid w:val="69896549"/>
    <w:rsid w:val="6B960100"/>
    <w:rsid w:val="6BE31EF7"/>
    <w:rsid w:val="6C117E43"/>
    <w:rsid w:val="6D535020"/>
    <w:rsid w:val="708F4D36"/>
    <w:rsid w:val="713C4C17"/>
    <w:rsid w:val="781112E7"/>
    <w:rsid w:val="7BBB70A6"/>
    <w:rsid w:val="7C64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333333"/>
      <w:u w:val="none"/>
    </w:rPr>
  </w:style>
  <w:style w:type="character" w:styleId="4">
    <w:name w:val="Emphasis"/>
    <w:basedOn w:val="2"/>
    <w:qFormat/>
    <w:uiPriority w:val="0"/>
  </w:style>
  <w:style w:type="character" w:styleId="5">
    <w:name w:val="Hyperlink"/>
    <w:basedOn w:val="2"/>
    <w:qFormat/>
    <w:uiPriority w:val="0"/>
    <w:rPr>
      <w:color w:val="333333"/>
      <w:u w:val="none"/>
    </w:rPr>
  </w:style>
  <w:style w:type="character" w:customStyle="1" w:styleId="7">
    <w:name w:val="n5"/>
    <w:basedOn w:val="2"/>
    <w:qFormat/>
    <w:uiPriority w:val="0"/>
  </w:style>
  <w:style w:type="character" w:customStyle="1" w:styleId="8">
    <w:name w:val="n4"/>
    <w:basedOn w:val="2"/>
    <w:qFormat/>
    <w:uiPriority w:val="0"/>
  </w:style>
  <w:style w:type="character" w:customStyle="1" w:styleId="9">
    <w:name w:val="num"/>
    <w:basedOn w:val="2"/>
    <w:qFormat/>
    <w:uiPriority w:val="0"/>
    <w:rPr>
      <w:color w:val="CC0000"/>
    </w:rPr>
  </w:style>
  <w:style w:type="character" w:customStyle="1" w:styleId="10">
    <w:name w:val="n8"/>
    <w:basedOn w:val="2"/>
    <w:qFormat/>
    <w:uiPriority w:val="0"/>
  </w:style>
  <w:style w:type="character" w:customStyle="1" w:styleId="11">
    <w:name w:val="n1"/>
    <w:basedOn w:val="2"/>
    <w:qFormat/>
    <w:uiPriority w:val="0"/>
  </w:style>
  <w:style w:type="character" w:customStyle="1" w:styleId="12">
    <w:name w:val="infocol"/>
    <w:basedOn w:val="2"/>
    <w:qFormat/>
    <w:uiPriority w:val="0"/>
  </w:style>
  <w:style w:type="character" w:customStyle="1" w:styleId="13">
    <w:name w:val="style2"/>
    <w:basedOn w:val="2"/>
    <w:qFormat/>
    <w:uiPriority w:val="0"/>
    <w:rPr>
      <w:color w:val="000000"/>
    </w:rPr>
  </w:style>
  <w:style w:type="character" w:customStyle="1" w:styleId="14">
    <w:name w:val="n6"/>
    <w:basedOn w:val="2"/>
    <w:qFormat/>
    <w:uiPriority w:val="0"/>
  </w:style>
  <w:style w:type="character" w:customStyle="1" w:styleId="15">
    <w:name w:val="n3"/>
    <w:basedOn w:val="2"/>
    <w:qFormat/>
    <w:uiPriority w:val="0"/>
  </w:style>
  <w:style w:type="character" w:customStyle="1" w:styleId="16">
    <w:name w:val="n2"/>
    <w:basedOn w:val="2"/>
    <w:qFormat/>
    <w:uiPriority w:val="0"/>
  </w:style>
  <w:style w:type="character" w:customStyle="1" w:styleId="17">
    <w:name w:val="zj"/>
    <w:basedOn w:val="2"/>
    <w:qFormat/>
    <w:uiPriority w:val="0"/>
    <w:rPr>
      <w:b/>
      <w:color w:val="FF6600"/>
      <w:sz w:val="24"/>
      <w:szCs w:val="24"/>
    </w:rPr>
  </w:style>
  <w:style w:type="character" w:customStyle="1" w:styleId="18">
    <w:name w:val="n7"/>
    <w:basedOn w:val="2"/>
    <w:qFormat/>
    <w:uiPriority w:val="0"/>
  </w:style>
  <w:style w:type="character" w:customStyle="1" w:styleId="19">
    <w:name w:val="n9"/>
    <w:basedOn w:val="2"/>
    <w:qFormat/>
    <w:uiPriority w:val="0"/>
  </w:style>
  <w:style w:type="character" w:customStyle="1" w:styleId="20">
    <w:name w:val="n10"/>
    <w:basedOn w:val="2"/>
    <w:qFormat/>
    <w:uiPriority w:val="0"/>
  </w:style>
  <w:style w:type="character" w:customStyle="1" w:styleId="21">
    <w:name w:val="class_name"/>
    <w:basedOn w:val="2"/>
    <w:qFormat/>
    <w:uiPriority w:val="0"/>
    <w:rPr>
      <w:sz w:val="16"/>
      <w:szCs w:val="16"/>
    </w:rPr>
  </w:style>
  <w:style w:type="character" w:customStyle="1" w:styleId="22">
    <w:name w:val="style1"/>
    <w:basedOn w:val="2"/>
    <w:qFormat/>
    <w:uiPriority w:val="0"/>
    <w:rPr>
      <w:b/>
      <w:color w:val="008000"/>
      <w:sz w:val="16"/>
      <w:szCs w:val="16"/>
    </w:rPr>
  </w:style>
  <w:style w:type="character" w:customStyle="1" w:styleId="23">
    <w:name w:val="color9"/>
    <w:basedOn w:val="2"/>
    <w:qFormat/>
    <w:uiPriority w:val="0"/>
    <w:rPr>
      <w:color w:val="999999"/>
    </w:rPr>
  </w:style>
  <w:style w:type="character" w:customStyle="1" w:styleId="24">
    <w:name w:val="intro"/>
    <w:basedOn w:val="2"/>
    <w:qFormat/>
    <w:uiPriority w:val="0"/>
    <w:rPr>
      <w:sz w:val="14"/>
      <w:szCs w:val="14"/>
    </w:rPr>
  </w:style>
  <w:style w:type="character" w:customStyle="1" w:styleId="25">
    <w:name w:val="intro1"/>
    <w:basedOn w:val="2"/>
    <w:qFormat/>
    <w:uiPriority w:val="0"/>
    <w:rPr>
      <w:color w:val="666666"/>
    </w:rPr>
  </w:style>
  <w:style w:type="character" w:customStyle="1" w:styleId="26">
    <w:name w:val="intro2"/>
    <w:basedOn w:val="2"/>
    <w:qFormat/>
    <w:uiPriority w:val="0"/>
    <w:rPr>
      <w:sz w:val="14"/>
      <w:szCs w:val="14"/>
    </w:rPr>
  </w:style>
  <w:style w:type="character" w:customStyle="1" w:styleId="27">
    <w:name w:val="f14"/>
    <w:basedOn w:val="2"/>
    <w:qFormat/>
    <w:uiPriority w:val="0"/>
    <w:rPr>
      <w:b/>
      <w:color w:val="000000"/>
      <w:sz w:val="16"/>
      <w:szCs w:val="16"/>
      <w:shd w:val="clear" w:fill="E4F3F6"/>
    </w:rPr>
  </w:style>
  <w:style w:type="character" w:customStyle="1" w:styleId="28">
    <w:name w:val="f141"/>
    <w:basedOn w:val="2"/>
    <w:qFormat/>
    <w:uiPriority w:val="0"/>
    <w:rPr>
      <w:b/>
      <w:color w:val="000000"/>
      <w:sz w:val="16"/>
      <w:szCs w:val="16"/>
      <w:shd w:val="clear" w:fill="E4F3F6"/>
    </w:rPr>
  </w:style>
  <w:style w:type="character" w:customStyle="1" w:styleId="29">
    <w:name w:val="color6"/>
    <w:basedOn w:val="2"/>
    <w:qFormat/>
    <w:uiPriority w:val="0"/>
    <w:rPr>
      <w:color w:val="999999"/>
    </w:rPr>
  </w:style>
  <w:style w:type="character" w:customStyle="1" w:styleId="30">
    <w:name w:val="color61"/>
    <w:basedOn w:val="2"/>
    <w:qFormat/>
    <w:uiPriority w:val="0"/>
    <w:rPr>
      <w:color w:val="999999"/>
    </w:rPr>
  </w:style>
  <w:style w:type="character" w:customStyle="1" w:styleId="31">
    <w:name w:val="color62"/>
    <w:basedOn w:val="2"/>
    <w:qFormat/>
    <w:uiPriority w:val="0"/>
    <w:rPr>
      <w:color w:val="999999"/>
    </w:rPr>
  </w:style>
  <w:style w:type="character" w:customStyle="1" w:styleId="32">
    <w:name w:val="color63"/>
    <w:basedOn w:val="2"/>
    <w:qFormat/>
    <w:uiPriority w:val="0"/>
    <w:rPr>
      <w:color w:val="999999"/>
    </w:rPr>
  </w:style>
  <w:style w:type="character" w:customStyle="1" w:styleId="33">
    <w:name w:val="redbold"/>
    <w:basedOn w:val="2"/>
    <w:qFormat/>
    <w:uiPriority w:val="0"/>
    <w:rPr>
      <w:b/>
      <w:color w:val="FF6600"/>
    </w:rPr>
  </w:style>
  <w:style w:type="character" w:customStyle="1" w:styleId="34">
    <w:name w:val="num2"/>
    <w:basedOn w:val="2"/>
    <w:qFormat/>
    <w:uiPriority w:val="0"/>
    <w:rPr>
      <w:color w:val="CC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2018-10-08T01:06:00Z</dcterms:created>
  <dc:creator>Administrator</dc:creator>
  <cp:lastModifiedBy>Administrator</cp:lastModifiedBy>
  <cp:lastPrinted>2018-10-24T07:05:00Z</cp:lastPrinted>
  <dcterms:modified xsi:type="dcterms:W3CDTF">2018-10-24T07:57:24Z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