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工程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毕业要求3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中，《工程经济学》、《管理学》属于专业基础知识，不属于专业技术基础知识，建议将“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比较系统、扎实地掌握本专业所必需的工程力学、结构力学、土力学与地基基础工程测量、工程经济学等技术基础知识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改为“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比较系统、扎实地掌握本专业所必需的工程力学、结构力学、土力学与地基基础工程测量、工程经济学等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基础知识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sz w:val="24"/>
                <w:szCs w:val="24"/>
                <w:lang w:val="en-US" w:eastAsia="zh-CN"/>
              </w:rPr>
              <w:t>工程项目管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理》是专业的核心课程，但在教学计划安排中却没有开设这门课程，建议在教学计划安排中设置该课程；本培养方案中《工程测量》和《建筑材料（双语）》两门核心课程的学分均为1.5学分，建议适当增加学时学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.《管理学》为专业基础课程，开设时间可适当提前。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钢筋混凝土结构设计为本专业技术类课程的重要实践环节，本培养方案中设置了1周，建设适当增加实践周数。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学科专业拓展课的设置尽量避免与同类课程的交叉，如《基础工程》课程与《土力学与地基基础》课程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在课程设置中，增加能够支撑培养具有</w:t>
            </w:r>
            <w:r>
              <w:rPr>
                <w:rFonts w:hint="eastAsia" w:ascii="宋体" w:hAnsi="宋体" w:eastAsia="宋体" w:cs="宋体"/>
                <w:sz w:val="24"/>
              </w:rPr>
              <w:t>国际视野的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0EC1A43"/>
    <w:rsid w:val="12DB5170"/>
    <w:rsid w:val="23E07F7E"/>
    <w:rsid w:val="28A97586"/>
    <w:rsid w:val="2A6B709C"/>
    <w:rsid w:val="31FC1A07"/>
    <w:rsid w:val="3FC10002"/>
    <w:rsid w:val="628F250C"/>
    <w:rsid w:val="7813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2017-12-22T14:12:22Z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