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港口航道与海岸工程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专业培养目标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进一步</w:t>
            </w:r>
            <w:r>
              <w:rPr>
                <w:rFonts w:hint="eastAsia" w:ascii="宋体" w:hAnsi="宋体" w:cs="宋体"/>
                <w:sz w:val="24"/>
              </w:rPr>
              <w:t>修改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凝练。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</w:rPr>
              <w:t>“面向土木水利行业需求”，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</w:rPr>
              <w:t>土木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lang w:eastAsia="zh-CN"/>
              </w:rPr>
              <w:t>”二字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</w:rPr>
              <w:t>直接在目标中明确是否合适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lang w:eastAsia="zh-CN"/>
              </w:rPr>
              <w:t>？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</w:rPr>
              <w:t>请仔细斟酌；培养目标应明确德智体美劳全面发展的内涵；培养目标中应该含有解决复杂工程问题的能力目标。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/>
                <w:b/>
                <w:sz w:val="24"/>
              </w:rPr>
              <w:t>毕业要求</w:t>
            </w:r>
            <w:r>
              <w:rPr>
                <w:rFonts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</w:rPr>
              <w:t>要涵盖专业</w:t>
            </w:r>
            <w:r>
              <w:rPr>
                <w:rFonts w:ascii="宋体" w:hAnsi="宋体"/>
                <w:sz w:val="24"/>
              </w:rPr>
              <w:t>认证</w:t>
            </w:r>
            <w:r>
              <w:rPr>
                <w:rFonts w:hint="eastAsia" w:ascii="宋体" w:hAnsi="宋体"/>
                <w:sz w:val="24"/>
              </w:rPr>
              <w:t>12条</w:t>
            </w:r>
            <w:r>
              <w:rPr>
                <w:rFonts w:ascii="宋体" w:hAnsi="宋体"/>
                <w:sz w:val="24"/>
              </w:rPr>
              <w:t>通用标准及专业补充标准，至少达到实质</w:t>
            </w:r>
            <w:r>
              <w:rPr>
                <w:rFonts w:hint="eastAsia" w:ascii="宋体" w:hAnsi="宋体"/>
                <w:sz w:val="24"/>
              </w:rPr>
              <w:t>等效；比如</w:t>
            </w:r>
            <w:r>
              <w:rPr>
                <w:rFonts w:ascii="宋体" w:hAnsi="宋体"/>
                <w:sz w:val="24"/>
              </w:rPr>
              <w:t>，持续学习能力</w:t>
            </w:r>
            <w:r>
              <w:rPr>
                <w:rFonts w:hint="eastAsia" w:ascii="宋体" w:hAnsi="宋体"/>
                <w:sz w:val="24"/>
              </w:rPr>
              <w:t>要求不够</w:t>
            </w:r>
            <w:r>
              <w:rPr>
                <w:rFonts w:ascii="宋体" w:hAnsi="宋体"/>
                <w:sz w:val="24"/>
              </w:rPr>
              <w:t>突出。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3.引入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</w:rPr>
              <w:t>培养目标、毕业要求与课程体系关系表：建议</w:t>
            </w:r>
            <w:r>
              <w:rPr>
                <w:rFonts w:hint="eastAsia" w:ascii="宋体" w:hAnsi="宋体" w:eastAsia="宋体" w:cs="宋体"/>
                <w:sz w:val="24"/>
              </w:rPr>
              <w:t>将培养目标细分为多个子目标，然后与毕业要求对应，最后再调整指标点；2-1数学中建议补充数理方程，该课程直接支撑水力学、河流动力学和海岸动力学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sz w:val="24"/>
              </w:rPr>
              <w:t>在四类跨学科基础课中，可适当选择经济类与管理类学科基础课程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专业核心课程的《</w:t>
            </w:r>
            <w:r>
              <w:rPr>
                <w:rFonts w:hint="eastAsia" w:ascii="宋体" w:hAnsi="宋体" w:eastAsia="宋体" w:cs="宋体"/>
                <w:sz w:val="24"/>
              </w:rPr>
              <w:t>港口水工建筑物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4"/>
              </w:rPr>
              <w:t>课时偏少，该课程为专业中非常重要的课程，需要提高学时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11.</w:t>
            </w:r>
            <w:r>
              <w:rPr>
                <w:rFonts w:hint="eastAsia" w:ascii="宋体" w:hAnsi="宋体" w:eastAsia="宋体" w:cs="宋体"/>
                <w:sz w:val="24"/>
              </w:rPr>
              <w:t>实验实践类课程缺少综合性、设计性实验，导致对解决复杂问题培养支撑不够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</w:rPr>
              <w:t>在总学分不变前提下，适当增加实践教学环节的比重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（要达到总学分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20%）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12.</w:t>
            </w:r>
            <w:r>
              <w:rPr>
                <w:rFonts w:hint="eastAsia" w:ascii="宋体" w:hAnsi="宋体" w:eastAsia="宋体" w:cs="宋体"/>
                <w:sz w:val="24"/>
              </w:rPr>
              <w:t>在课程设置中，增加能够支撑培养具有国际视野和行业精英特点的课程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bookmarkStart w:id="0" w:name="_GoBack"/>
      <w:bookmarkEnd w:id="0"/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12DB5170"/>
    <w:rsid w:val="23E07F7E"/>
    <w:rsid w:val="28A97586"/>
    <w:rsid w:val="2A6B709C"/>
    <w:rsid w:val="31FC1A07"/>
    <w:rsid w:val="3FC1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2017-12-22T14:05:27Z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