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7469"/>
        <w:gridCol w:w="6648"/>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ascii="Times New Roman" w:hAnsi="Times New Roman"/>
                <w:b/>
                <w:bCs w:val="0"/>
                <w:sz w:val="28"/>
                <w:szCs w:val="28"/>
                <w:lang w:val="en-US" w:eastAsia="zh-CN"/>
              </w:rPr>
              <w:t>汉语言文学</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7469"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评审意见</w:t>
            </w:r>
          </w:p>
        </w:tc>
        <w:tc>
          <w:tcPr>
            <w:tcW w:w="6648"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w:t>
            </w:r>
            <w:r>
              <w:rPr>
                <w:rFonts w:hint="eastAsia" w:ascii="宋体" w:hAnsi="宋体" w:eastAsia="宋体" w:cs="宋体"/>
                <w:b w:val="0"/>
                <w:bCs w:val="0"/>
                <w:sz w:val="24"/>
                <w:szCs w:val="24"/>
              </w:rPr>
              <w:t>培养目标</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培养要求</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培养方案</w:t>
            </w:r>
            <w:r>
              <w:rPr>
                <w:rFonts w:hint="eastAsia" w:ascii="宋体" w:hAnsi="宋体" w:eastAsia="宋体" w:cs="宋体"/>
                <w:b w:val="0"/>
                <w:bCs w:val="0"/>
                <w:sz w:val="24"/>
                <w:szCs w:val="24"/>
                <w:lang w:eastAsia="zh-CN"/>
              </w:rPr>
              <w:t>可分别参照</w:t>
            </w:r>
            <w:r>
              <w:rPr>
                <w:rFonts w:hint="eastAsia" w:ascii="宋体" w:hAnsi="宋体" w:eastAsia="宋体" w:cs="宋体"/>
                <w:b w:val="0"/>
                <w:bCs w:val="0"/>
                <w:sz w:val="24"/>
                <w:szCs w:val="24"/>
              </w:rPr>
              <w:t>教育部《普通高等学校本科专业目录和专业介绍》（2012年）</w:t>
            </w:r>
            <w:r>
              <w:rPr>
                <w:rFonts w:hint="eastAsia" w:ascii="宋体" w:hAnsi="宋体" w:eastAsia="宋体" w:cs="宋体"/>
                <w:b w:val="0"/>
                <w:bCs w:val="0"/>
                <w:sz w:val="24"/>
                <w:szCs w:val="24"/>
                <w:lang w:eastAsia="zh-CN"/>
              </w:rPr>
              <w:t>等文件，</w:t>
            </w:r>
            <w:r>
              <w:rPr>
                <w:rFonts w:hint="eastAsia" w:ascii="宋体" w:hAnsi="宋体" w:eastAsia="宋体" w:cs="宋体"/>
                <w:b w:val="0"/>
                <w:bCs w:val="0"/>
                <w:sz w:val="24"/>
                <w:szCs w:val="24"/>
              </w:rPr>
              <w:t>加以</w:t>
            </w:r>
            <w:r>
              <w:rPr>
                <w:rFonts w:hint="eastAsia" w:ascii="宋体" w:hAnsi="宋体" w:eastAsia="宋体" w:cs="宋体"/>
                <w:b w:val="0"/>
                <w:bCs w:val="0"/>
                <w:sz w:val="24"/>
                <w:szCs w:val="24"/>
                <w:lang w:eastAsia="zh-CN"/>
              </w:rPr>
              <w:t>进一步的</w:t>
            </w:r>
            <w:r>
              <w:rPr>
                <w:rFonts w:hint="eastAsia" w:ascii="宋体" w:hAnsi="宋体" w:eastAsia="宋体" w:cs="宋体"/>
                <w:b w:val="0"/>
                <w:bCs w:val="0"/>
                <w:sz w:val="24"/>
                <w:szCs w:val="24"/>
              </w:rPr>
              <w:t>规范。</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both"/>
              <w:textAlignment w:val="auto"/>
              <w:rPr>
                <w:rFonts w:hint="eastAsia" w:ascii="宋体" w:hAnsi="宋体"/>
                <w:sz w:val="24"/>
              </w:rPr>
            </w:pPr>
            <w:r>
              <w:rPr>
                <w:rFonts w:hint="eastAsia" w:ascii="宋体" w:hAnsi="宋体" w:cs="宋体"/>
                <w:b/>
                <w:bCs/>
                <w:sz w:val="24"/>
                <w:szCs w:val="24"/>
                <w:lang w:val="en-US" w:eastAsia="zh-CN"/>
              </w:rPr>
              <w:t>2.</w:t>
            </w:r>
            <w:r>
              <w:rPr>
                <w:rFonts w:hint="eastAsia" w:ascii="宋体" w:hAnsi="宋体" w:eastAsia="宋体" w:cs="宋体"/>
                <w:b/>
                <w:bCs/>
                <w:sz w:val="24"/>
                <w:szCs w:val="24"/>
                <w:lang w:val="en-US" w:eastAsia="zh-CN"/>
              </w:rPr>
              <w:t>“</w:t>
            </w:r>
            <w:r>
              <w:rPr>
                <w:rFonts w:hint="eastAsia"/>
                <w:b/>
                <w:bCs/>
                <w:color w:val="000000"/>
                <w:kern w:val="2"/>
                <w:sz w:val="24"/>
                <w:szCs w:val="24"/>
              </w:rPr>
              <w:t>培养目标（标准）、毕业要求与课程体系关系表</w:t>
            </w:r>
            <w:r>
              <w:rPr>
                <w:rFonts w:hint="eastAsia"/>
                <w:b/>
                <w:bCs/>
                <w:color w:val="000000"/>
                <w:kern w:val="2"/>
                <w:sz w:val="24"/>
                <w:szCs w:val="24"/>
                <w:lang w:eastAsia="zh-CN"/>
              </w:rPr>
              <w:t>”需要梳理、完善。</w:t>
            </w:r>
            <w:r>
              <w:rPr>
                <w:rFonts w:hint="eastAsia"/>
                <w:b w:val="0"/>
                <w:bCs w:val="0"/>
                <w:color w:val="000000"/>
                <w:kern w:val="2"/>
                <w:sz w:val="24"/>
                <w:szCs w:val="24"/>
                <w:lang w:eastAsia="zh-CN"/>
              </w:rPr>
              <w:t>（</w:t>
            </w:r>
            <w:r>
              <w:rPr>
                <w:rFonts w:hint="eastAsia"/>
                <w:b w:val="0"/>
                <w:bCs w:val="0"/>
                <w:color w:val="000000"/>
                <w:kern w:val="2"/>
                <w:sz w:val="24"/>
                <w:szCs w:val="24"/>
                <w:lang w:val="en-US" w:eastAsia="zh-CN"/>
              </w:rPr>
              <w:t>1）总体上，</w:t>
            </w:r>
            <w:r>
              <w:rPr>
                <w:rFonts w:hint="eastAsia" w:ascii="宋体" w:hAnsi="宋体" w:eastAsia="宋体" w:cs="宋体"/>
                <w:sz w:val="24"/>
                <w:szCs w:val="24"/>
              </w:rPr>
              <w:t>毕业要求</w:t>
            </w:r>
            <w:r>
              <w:rPr>
                <w:rFonts w:hint="eastAsia" w:ascii="宋体" w:hAnsi="宋体" w:eastAsia="宋体" w:cs="宋体"/>
                <w:sz w:val="24"/>
                <w:szCs w:val="24"/>
                <w:lang w:eastAsia="zh-CN"/>
              </w:rPr>
              <w:t>要</w:t>
            </w:r>
            <w:r>
              <w:rPr>
                <w:rFonts w:hint="eastAsia" w:ascii="宋体" w:hAnsi="宋体" w:eastAsia="宋体" w:cs="宋体"/>
                <w:sz w:val="24"/>
                <w:szCs w:val="24"/>
              </w:rPr>
              <w:t>充分体现专业核心内容</w:t>
            </w:r>
            <w:r>
              <w:rPr>
                <w:rFonts w:hint="eastAsia" w:ascii="宋体" w:hAnsi="宋体" w:eastAsia="宋体" w:cs="宋体"/>
                <w:sz w:val="24"/>
                <w:szCs w:val="24"/>
                <w:lang w:eastAsia="zh-CN"/>
              </w:rPr>
              <w:t>，</w:t>
            </w:r>
            <w:r>
              <w:rPr>
                <w:rFonts w:hint="eastAsia" w:ascii="宋体" w:hAnsi="宋体" w:cs="宋体"/>
                <w:sz w:val="24"/>
                <w:szCs w:val="24"/>
                <w:lang w:eastAsia="zh-CN"/>
              </w:rPr>
              <w:t>全面反映人才培养目标内涵；指标点应全面覆盖毕业要求。应</w:t>
            </w:r>
            <w:r>
              <w:rPr>
                <w:rFonts w:hint="eastAsia" w:ascii="宋体" w:hAnsi="宋体" w:eastAsia="宋体" w:cs="宋体"/>
                <w:sz w:val="24"/>
                <w:szCs w:val="24"/>
                <w:lang w:eastAsia="zh-CN"/>
              </w:rPr>
              <w:t>注意</w:t>
            </w:r>
            <w:r>
              <w:rPr>
                <w:rFonts w:hint="eastAsia" w:ascii="宋体" w:hAnsi="宋体" w:eastAsia="宋体" w:cs="宋体"/>
                <w:sz w:val="24"/>
                <w:szCs w:val="24"/>
              </w:rPr>
              <w:t>逻辑性和递进性</w:t>
            </w:r>
            <w:r>
              <w:rPr>
                <w:rFonts w:hint="eastAsia" w:ascii="宋体" w:hAnsi="宋体" w:eastAsia="宋体" w:cs="宋体"/>
                <w:sz w:val="24"/>
                <w:szCs w:val="24"/>
                <w:lang w:eastAsia="zh-CN"/>
              </w:rPr>
              <w:t>，避免毕业要求之间、指标点之间内涵的重复</w:t>
            </w:r>
            <w:r>
              <w:rPr>
                <w:rFonts w:hint="eastAsia" w:ascii="宋体" w:hAnsi="宋体" w:cs="宋体"/>
                <w:sz w:val="24"/>
                <w:szCs w:val="24"/>
                <w:lang w:val="en-US" w:eastAsia="zh-CN"/>
              </w:rPr>
              <w:t>,</w:t>
            </w:r>
            <w:r>
              <w:rPr>
                <w:rFonts w:hint="eastAsia" w:ascii="宋体" w:hAnsi="宋体" w:eastAsia="宋体" w:cs="宋体"/>
                <w:sz w:val="24"/>
                <w:szCs w:val="24"/>
                <w:lang w:eastAsia="zh-CN"/>
              </w:rPr>
              <w:t>避免</w:t>
            </w:r>
            <w:r>
              <w:rPr>
                <w:rFonts w:hint="eastAsia" w:ascii="宋体" w:hAnsi="宋体" w:eastAsia="宋体" w:cs="宋体"/>
                <w:sz w:val="24"/>
                <w:szCs w:val="24"/>
              </w:rPr>
              <w:t>毕业要求</w:t>
            </w:r>
            <w:r>
              <w:rPr>
                <w:rFonts w:hint="eastAsia" w:ascii="宋体" w:hAnsi="宋体" w:eastAsia="宋体" w:cs="宋体"/>
                <w:sz w:val="24"/>
                <w:szCs w:val="24"/>
                <w:lang w:eastAsia="zh-CN"/>
              </w:rPr>
              <w:t>与</w:t>
            </w:r>
            <w:r>
              <w:rPr>
                <w:rFonts w:hint="eastAsia" w:ascii="宋体" w:hAnsi="宋体" w:eastAsia="宋体" w:cs="宋体"/>
                <w:sz w:val="24"/>
                <w:szCs w:val="24"/>
              </w:rPr>
              <w:t>课程设置</w:t>
            </w:r>
            <w:r>
              <w:rPr>
                <w:rFonts w:hint="eastAsia" w:ascii="宋体" w:hAnsi="宋体" w:eastAsia="宋体" w:cs="宋体"/>
                <w:sz w:val="24"/>
                <w:szCs w:val="24"/>
                <w:lang w:eastAsia="zh-CN"/>
              </w:rPr>
              <w:t>之间的</w:t>
            </w:r>
            <w:r>
              <w:rPr>
                <w:rFonts w:hint="eastAsia" w:ascii="宋体" w:hAnsi="宋体" w:eastAsia="宋体" w:cs="宋体"/>
                <w:sz w:val="24"/>
                <w:szCs w:val="24"/>
              </w:rPr>
              <w:t>剥离。</w:t>
            </w:r>
            <w:r>
              <w:rPr>
                <w:rFonts w:hint="eastAsia" w:ascii="宋体" w:hAnsi="宋体"/>
                <w:sz w:val="24"/>
                <w:lang w:eastAsia="zh-CN"/>
              </w:rPr>
              <w:t>本专业“</w:t>
            </w:r>
            <w:r>
              <w:rPr>
                <w:rFonts w:hint="eastAsia" w:ascii="宋体" w:hAnsi="宋体"/>
                <w:sz w:val="24"/>
              </w:rPr>
              <w:t>关系表</w:t>
            </w:r>
            <w:r>
              <w:rPr>
                <w:rFonts w:hint="eastAsia" w:ascii="宋体" w:hAnsi="宋体"/>
                <w:sz w:val="24"/>
                <w:lang w:eastAsia="zh-CN"/>
              </w:rPr>
              <w:t>”</w:t>
            </w:r>
            <w:r>
              <w:rPr>
                <w:rFonts w:hint="eastAsia" w:ascii="宋体" w:hAnsi="宋体"/>
                <w:sz w:val="24"/>
              </w:rPr>
              <w:t>中，指标点</w:t>
            </w:r>
            <w:r>
              <w:rPr>
                <w:rFonts w:hint="eastAsia" w:ascii="宋体" w:hAnsi="宋体"/>
                <w:sz w:val="24"/>
                <w:lang w:eastAsia="zh-CN"/>
              </w:rPr>
              <w:t>能否全面支撑毕业要求和培养目标，</w:t>
            </w:r>
            <w:r>
              <w:rPr>
                <w:rFonts w:hint="eastAsia" w:ascii="宋体" w:hAnsi="宋体"/>
                <w:sz w:val="24"/>
              </w:rPr>
              <w:t>有待斟酌和商榷，需要认真考虑他们之间的内涵和区分点；毕业要求、指标点、课程设置之间的内在逻辑关系有待进一步深思、斟酌。在《广东海洋大学关于学分制人才培养方案修订工作的指导意见》中，有关各板块课程的设计与能力培养之间的关系有了较详细的说明介绍，建议结合《广东海洋大学关于学分制人才培养方案修订工作的指导意见》来描述人才培养目标及要求。</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both"/>
              <w:textAlignment w:val="auto"/>
              <w:rPr>
                <w:rFonts w:hint="eastAsia" w:ascii="宋体" w:hAnsi="宋体"/>
                <w:sz w:val="24"/>
                <w:lang w:val="en-US" w:eastAsia="zh-CN"/>
              </w:rPr>
            </w:pPr>
            <w:r>
              <w:rPr>
                <w:rFonts w:hint="eastAsia" w:ascii="宋体" w:hAnsi="宋体"/>
                <w:sz w:val="24"/>
                <w:lang w:eastAsia="zh-CN"/>
              </w:rPr>
              <w:t>（</w:t>
            </w:r>
            <w:r>
              <w:rPr>
                <w:rFonts w:hint="eastAsia" w:ascii="宋体" w:hAnsi="宋体"/>
                <w:sz w:val="24"/>
                <w:lang w:val="en-US" w:eastAsia="zh-CN"/>
              </w:rPr>
              <w:t>2）“三、关系表”中的“毕业要求”应与“二、毕业要求”一致；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eastAsia="宋体" w:cs="宋体"/>
                <w:b w:val="0"/>
                <w:bCs/>
                <w:color w:val="000000"/>
                <w:sz w:val="24"/>
                <w:szCs w:val="24"/>
                <w:lang w:eastAsia="zh-CN"/>
              </w:rPr>
            </w:pPr>
            <w:r>
              <w:rPr>
                <w:rFonts w:hint="eastAsia" w:ascii="宋体" w:hAnsi="宋体" w:eastAsia="宋体" w:cs="宋体"/>
                <w:sz w:val="24"/>
                <w:szCs w:val="24"/>
                <w:lang w:eastAsia="zh-CN"/>
              </w:rPr>
              <w:t>（</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w:t>
            </w:r>
            <w:r>
              <w:rPr>
                <w:rFonts w:hint="eastAsia" w:ascii="宋体" w:hAnsi="宋体" w:eastAsia="宋体" w:cs="宋体"/>
                <w:b w:val="0"/>
                <w:bCs/>
                <w:color w:val="000000"/>
                <w:sz w:val="24"/>
                <w:szCs w:val="24"/>
                <w:lang w:eastAsia="zh-CN"/>
              </w:rPr>
              <w:t>要将培养方案中每一门课程（含实践环节）列入关系表中，体现每一门课程对培养目标、毕业要求的</w:t>
            </w:r>
            <w:r>
              <w:rPr>
                <w:rFonts w:hint="eastAsia" w:ascii="宋体" w:hAnsi="宋体" w:cs="宋体"/>
                <w:b w:val="0"/>
                <w:bCs/>
                <w:color w:val="000000"/>
                <w:sz w:val="24"/>
                <w:szCs w:val="24"/>
                <w:lang w:eastAsia="zh-CN"/>
              </w:rPr>
              <w:t>支撑和</w:t>
            </w:r>
            <w:r>
              <w:rPr>
                <w:rFonts w:hint="eastAsia" w:ascii="宋体" w:hAnsi="宋体" w:eastAsia="宋体" w:cs="宋体"/>
                <w:b w:val="0"/>
                <w:bCs/>
                <w:color w:val="000000"/>
                <w:sz w:val="24"/>
                <w:szCs w:val="24"/>
                <w:lang w:eastAsia="zh-CN"/>
              </w:rPr>
              <w:t>贡献度。不能用笼统的课程类进行描述，比如“1-2 跨学科知识技能”，列出“逻辑学及教育学类、管理学类、经济学类、法学类课程”，这些是需要用附表中的具体课程来写明</w:t>
            </w:r>
            <w:r>
              <w:rPr>
                <w:rFonts w:hint="eastAsia" w:ascii="宋体" w:hAnsi="宋体" w:cs="宋体"/>
                <w:b w:val="0"/>
                <w:bCs/>
                <w:color w:val="000000"/>
                <w:sz w:val="24"/>
                <w:szCs w:val="24"/>
                <w:lang w:eastAsia="zh-CN"/>
              </w:rPr>
              <w:t>（暂时无法确定具体课程的通识教育选修课除外）</w:t>
            </w:r>
            <w:r>
              <w:rPr>
                <w:rFonts w:hint="eastAsia" w:ascii="宋体" w:hAnsi="宋体" w:eastAsia="宋体" w:cs="宋体"/>
                <w:b w:val="0"/>
                <w:bCs/>
                <w:color w:val="000000"/>
                <w:sz w:val="24"/>
                <w:szCs w:val="24"/>
                <w:lang w:eastAsia="zh-CN"/>
              </w:rPr>
              <w:t>。类似情况</w:t>
            </w:r>
            <w:r>
              <w:rPr>
                <w:rFonts w:hint="eastAsia" w:ascii="宋体" w:hAnsi="宋体" w:cs="宋体"/>
                <w:b w:val="0"/>
                <w:bCs/>
                <w:color w:val="000000"/>
                <w:sz w:val="24"/>
                <w:szCs w:val="24"/>
                <w:lang w:eastAsia="zh-CN"/>
              </w:rPr>
              <w:t>需</w:t>
            </w:r>
            <w:r>
              <w:rPr>
                <w:rFonts w:hint="eastAsia" w:ascii="宋体" w:hAnsi="宋体" w:eastAsia="宋体" w:cs="宋体"/>
                <w:b w:val="0"/>
                <w:bCs/>
                <w:color w:val="000000"/>
                <w:sz w:val="24"/>
                <w:szCs w:val="24"/>
                <w:lang w:eastAsia="zh-CN"/>
              </w:rPr>
              <w:t>要进一步梳理。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eastAsia="宋体" w:cs="宋体"/>
                <w:b/>
                <w:bCs/>
                <w:sz w:val="24"/>
                <w:szCs w:val="24"/>
                <w:lang w:val="en-US" w:eastAsia="zh-CN"/>
              </w:rPr>
            </w:pPr>
            <w:r>
              <w:rPr>
                <w:rFonts w:hint="eastAsia" w:ascii="宋体" w:hAnsi="宋体" w:eastAsia="宋体" w:cs="宋体"/>
                <w:b w:val="0"/>
                <w:bCs/>
                <w:color w:val="000000"/>
                <w:sz w:val="24"/>
                <w:szCs w:val="24"/>
                <w:lang w:eastAsia="zh-CN"/>
              </w:rPr>
              <w:t>（</w:t>
            </w:r>
            <w:r>
              <w:rPr>
                <w:rFonts w:hint="eastAsia" w:ascii="宋体" w:hAnsi="宋体" w:cs="宋体"/>
                <w:b w:val="0"/>
                <w:bCs/>
                <w:color w:val="000000"/>
                <w:sz w:val="24"/>
                <w:szCs w:val="24"/>
                <w:lang w:val="en-US" w:eastAsia="zh-CN"/>
              </w:rPr>
              <w:t>4</w:t>
            </w:r>
            <w:r>
              <w:rPr>
                <w:rFonts w:hint="eastAsia" w:ascii="宋体" w:hAnsi="宋体" w:eastAsia="宋体" w:cs="宋体"/>
                <w:b w:val="0"/>
                <w:bCs/>
                <w:color w:val="000000"/>
                <w:sz w:val="24"/>
                <w:szCs w:val="24"/>
                <w:lang w:val="en-US" w:eastAsia="zh-CN"/>
              </w:rPr>
              <w:t>）</w:t>
            </w:r>
            <w:r>
              <w:rPr>
                <w:rFonts w:hint="eastAsia" w:ascii="宋体" w:hAnsi="宋体" w:eastAsia="宋体" w:cs="宋体"/>
                <w:b w:val="0"/>
                <w:bCs/>
                <w:color w:val="000000"/>
                <w:sz w:val="24"/>
                <w:szCs w:val="24"/>
                <w:lang w:eastAsia="zh-CN"/>
              </w:rPr>
              <w:t>关</w:t>
            </w:r>
            <w:r>
              <w:rPr>
                <w:rFonts w:hint="eastAsia" w:ascii="宋体" w:hAnsi="宋体" w:eastAsia="宋体" w:cs="宋体"/>
                <w:b w:val="0"/>
                <w:bCs/>
                <w:color w:val="000000"/>
                <w:kern w:val="2"/>
                <w:sz w:val="24"/>
                <w:szCs w:val="24"/>
                <w:lang w:eastAsia="zh-CN"/>
              </w:rPr>
              <w:t>系表中所列课程</w:t>
            </w:r>
            <w:r>
              <w:rPr>
                <w:rFonts w:hint="eastAsia" w:ascii="宋体" w:hAnsi="宋体" w:cs="宋体"/>
                <w:b w:val="0"/>
                <w:bCs/>
                <w:color w:val="000000"/>
                <w:kern w:val="2"/>
                <w:sz w:val="24"/>
                <w:szCs w:val="24"/>
                <w:lang w:eastAsia="zh-CN"/>
              </w:rPr>
              <w:t>要</w:t>
            </w:r>
            <w:r>
              <w:rPr>
                <w:rFonts w:hint="eastAsia" w:ascii="宋体" w:hAnsi="宋体" w:eastAsia="宋体" w:cs="宋体"/>
                <w:b w:val="0"/>
                <w:bCs/>
                <w:color w:val="000000"/>
                <w:kern w:val="2"/>
                <w:sz w:val="24"/>
                <w:szCs w:val="24"/>
                <w:lang w:eastAsia="zh-CN"/>
              </w:rPr>
              <w:t>全面支撑指标点内涵</w:t>
            </w:r>
            <w:r>
              <w:rPr>
                <w:rFonts w:hint="eastAsia" w:ascii="宋体" w:hAnsi="宋体" w:cs="宋体"/>
                <w:b w:val="0"/>
                <w:bCs/>
                <w:color w:val="000000"/>
                <w:kern w:val="2"/>
                <w:sz w:val="24"/>
                <w:szCs w:val="24"/>
                <w:lang w:eastAsia="zh-CN"/>
              </w:rPr>
              <w:t>。</w:t>
            </w:r>
            <w:r>
              <w:rPr>
                <w:rFonts w:hint="eastAsia" w:ascii="宋体" w:hAnsi="宋体" w:eastAsia="宋体" w:cs="宋体"/>
                <w:b w:val="0"/>
                <w:bCs/>
                <w:color w:val="000000"/>
                <w:kern w:val="2"/>
                <w:sz w:val="24"/>
                <w:szCs w:val="24"/>
                <w:lang w:eastAsia="zh-CN"/>
              </w:rPr>
              <w:t>同一门课程可以支撑多个指标点和毕业要求</w:t>
            </w:r>
            <w:r>
              <w:rPr>
                <w:rFonts w:hint="eastAsia" w:ascii="宋体" w:hAnsi="宋体" w:cs="宋体"/>
                <w:b w:val="0"/>
                <w:bCs/>
                <w:color w:val="000000"/>
                <w:sz w:val="24"/>
                <w:szCs w:val="24"/>
                <w:lang w:eastAsia="zh-CN"/>
              </w:rPr>
              <w:t>。</w:t>
            </w:r>
            <w:r>
              <w:rPr>
                <w:rFonts w:hint="eastAsia" w:ascii="宋体" w:hAnsi="宋体" w:cs="宋体"/>
                <w:b w:val="0"/>
                <w:bCs/>
                <w:color w:val="000000"/>
                <w:kern w:val="2"/>
                <w:sz w:val="24"/>
                <w:szCs w:val="24"/>
                <w:lang w:eastAsia="zh-CN"/>
              </w:rPr>
              <w:t>建议将关系表进一步梳理、</w:t>
            </w:r>
            <w:r>
              <w:rPr>
                <w:rFonts w:hint="eastAsia" w:ascii="宋体" w:hAnsi="宋体" w:cs="宋体"/>
                <w:b w:val="0"/>
                <w:bCs/>
                <w:color w:val="000000"/>
                <w:kern w:val="2"/>
                <w:sz w:val="24"/>
                <w:szCs w:val="24"/>
                <w:lang w:val="en-US" w:eastAsia="zh-CN"/>
              </w:rPr>
              <w:t>完善</w:t>
            </w:r>
            <w:bookmarkStart w:id="0" w:name="_GoBack"/>
            <w:bookmarkEnd w:id="0"/>
            <w:r>
              <w:rPr>
                <w:rFonts w:hint="eastAsia" w:ascii="宋体" w:hAnsi="宋体" w:cs="宋体"/>
                <w:b w:val="0"/>
                <w:bCs/>
                <w:color w:val="000000"/>
                <w:kern w:val="2"/>
                <w:sz w:val="24"/>
                <w:szCs w:val="24"/>
                <w:lang w:eastAsia="zh-CN"/>
              </w:rPr>
              <w:t>。</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lang w:val="en-US" w:eastAsia="zh-CN"/>
              </w:rPr>
            </w:pPr>
            <w:r>
              <w:rPr>
                <w:rFonts w:hint="eastAsia" w:ascii="宋体" w:hAnsi="宋体" w:cs="宋体"/>
                <w:b w:val="0"/>
                <w:bCs w:val="0"/>
                <w:sz w:val="24"/>
                <w:lang w:val="en-US" w:eastAsia="zh-CN"/>
              </w:rPr>
              <w:t>3.</w:t>
            </w:r>
            <w:r>
              <w:rPr>
                <w:rFonts w:hint="eastAsia" w:ascii="宋体" w:hAnsi="宋体" w:eastAsia="宋体" w:cs="宋体"/>
                <w:b w:val="0"/>
                <w:bCs w:val="0"/>
                <w:sz w:val="24"/>
              </w:rPr>
              <w:t>培养目标要求毕业生具有“较高程度的职业可塑性”，这是一个很好的提法，但在课程设置中，似乎没有得到有效的回应和支撑</w:t>
            </w:r>
            <w:r>
              <w:rPr>
                <w:rFonts w:hint="eastAsia" w:ascii="宋体" w:hAnsi="宋体" w:eastAsia="宋体" w:cs="宋体"/>
                <w:b w:val="0"/>
                <w:bCs w:val="0"/>
                <w:sz w:val="24"/>
                <w:lang w:eastAsia="zh-CN"/>
              </w:rPr>
              <w:t>。</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both"/>
              <w:textAlignment w:val="auto"/>
              <w:outlineLvl w:val="9"/>
              <w:rPr>
                <w:rFonts w:hint="eastAsia" w:ascii="宋体" w:hAnsi="宋体" w:cs="宋体"/>
                <w:sz w:val="24"/>
                <w:lang w:val="en-US" w:eastAsia="zh-CN"/>
              </w:rPr>
            </w:pP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lang w:eastAsia="zh-CN"/>
              </w:rPr>
              <w:t>课程太多、过杂，有些课程又</w:t>
            </w:r>
            <w:r>
              <w:rPr>
                <w:rFonts w:hint="eastAsia" w:ascii="宋体" w:hAnsi="宋体" w:eastAsia="宋体" w:cs="宋体"/>
                <w:b w:val="0"/>
                <w:bCs w:val="0"/>
                <w:sz w:val="24"/>
                <w:szCs w:val="24"/>
                <w:lang w:val="en-US" w:eastAsia="zh-CN"/>
              </w:rPr>
              <w:t>过难</w:t>
            </w:r>
            <w:r>
              <w:rPr>
                <w:rFonts w:hint="eastAsia" w:ascii="宋体" w:hAnsi="宋体" w:eastAsia="宋体" w:cs="宋体"/>
                <w:b w:val="0"/>
                <w:bCs w:val="0"/>
                <w:sz w:val="24"/>
                <w:szCs w:val="24"/>
                <w:lang w:eastAsia="zh-CN"/>
              </w:rPr>
              <w:t>。比如跨学科基础课模块的财务管理学、经济学原理、公共行政学等课程，对于汉语言专业的学生来说，就显得有些杂、难。</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both"/>
              <w:textAlignment w:val="auto"/>
              <w:outlineLvl w:val="9"/>
              <w:rPr>
                <w:rFonts w:hint="eastAsia" w:ascii="宋体" w:hAnsi="宋体" w:eastAsia="宋体" w:cs="宋体"/>
                <w:sz w:val="24"/>
                <w:lang w:val="en-US" w:eastAsia="zh-CN"/>
              </w:rPr>
            </w:pPr>
            <w:r>
              <w:rPr>
                <w:rFonts w:hint="eastAsia" w:ascii="宋体" w:hAnsi="宋体" w:cs="宋体"/>
                <w:sz w:val="24"/>
                <w:lang w:val="en-US" w:eastAsia="zh-CN"/>
              </w:rPr>
              <w:t>5.</w:t>
            </w:r>
            <w:r>
              <w:rPr>
                <w:rFonts w:hint="eastAsia" w:ascii="宋体" w:hAnsi="宋体" w:eastAsia="宋体" w:cs="宋体"/>
                <w:b w:val="0"/>
                <w:bCs w:val="0"/>
                <w:sz w:val="24"/>
                <w:szCs w:val="24"/>
                <w:lang w:eastAsia="zh-CN"/>
              </w:rPr>
              <w:t>专业核心课程</w:t>
            </w:r>
            <w:r>
              <w:rPr>
                <w:rFonts w:hint="eastAsia" w:ascii="宋体" w:hAnsi="宋体" w:cs="宋体"/>
                <w:b w:val="0"/>
                <w:bCs w:val="0"/>
                <w:sz w:val="24"/>
                <w:szCs w:val="24"/>
                <w:lang w:eastAsia="zh-CN"/>
              </w:rPr>
              <w:t>设计的内容领域</w:t>
            </w:r>
            <w:r>
              <w:rPr>
                <w:rFonts w:hint="eastAsia" w:ascii="宋体" w:hAnsi="宋体" w:eastAsia="宋体" w:cs="宋体"/>
                <w:b w:val="0"/>
                <w:bCs w:val="0"/>
                <w:sz w:val="24"/>
                <w:szCs w:val="24"/>
                <w:lang w:eastAsia="zh-CN"/>
              </w:rPr>
              <w:t>相对偏少。</w:t>
            </w:r>
            <w:r>
              <w:rPr>
                <w:rFonts w:hint="eastAsia" w:ascii="宋体" w:hAnsi="宋体" w:eastAsia="宋体" w:cs="宋体"/>
                <w:b w:val="0"/>
                <w:bCs w:val="0"/>
                <w:sz w:val="24"/>
              </w:rPr>
              <w:t>“语言学概论”</w:t>
            </w:r>
            <w:r>
              <w:rPr>
                <w:rFonts w:hint="eastAsia" w:ascii="宋体" w:hAnsi="宋体" w:eastAsia="宋体" w:cs="宋体"/>
                <w:b w:val="0"/>
                <w:bCs w:val="0"/>
                <w:sz w:val="24"/>
                <w:lang w:eastAsia="zh-CN"/>
              </w:rPr>
              <w:t>、</w:t>
            </w:r>
            <w:r>
              <w:rPr>
                <w:rFonts w:hint="eastAsia" w:ascii="宋体" w:hAnsi="宋体" w:eastAsia="宋体" w:cs="宋体"/>
                <w:b w:val="0"/>
                <w:bCs w:val="0"/>
                <w:sz w:val="24"/>
              </w:rPr>
              <w:t>“中国当代文学”</w:t>
            </w:r>
            <w:r>
              <w:rPr>
                <w:rFonts w:hint="eastAsia" w:ascii="宋体" w:hAnsi="宋体" w:eastAsia="宋体" w:cs="宋体"/>
                <w:b w:val="0"/>
                <w:bCs w:val="0"/>
                <w:sz w:val="24"/>
                <w:lang w:eastAsia="zh-CN"/>
              </w:rPr>
              <w:t>、</w:t>
            </w:r>
            <w:r>
              <w:rPr>
                <w:rFonts w:hint="eastAsia" w:ascii="宋体" w:hAnsi="宋体" w:eastAsia="宋体" w:cs="宋体"/>
                <w:b w:val="0"/>
                <w:bCs w:val="0"/>
                <w:sz w:val="24"/>
              </w:rPr>
              <w:t>“世界文学与比较文学”应列为专业核心课程，而非专业拓展课程</w:t>
            </w:r>
            <w:r>
              <w:rPr>
                <w:rFonts w:hint="eastAsia" w:ascii="宋体" w:hAnsi="宋体" w:eastAsia="宋体" w:cs="宋体"/>
                <w:b w:val="0"/>
                <w:bCs w:val="0"/>
                <w:sz w:val="24"/>
                <w:lang w:eastAsia="zh-CN"/>
              </w:rPr>
              <w:t>。</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textAlignment w:val="auto"/>
              <w:outlineLvl w:val="9"/>
              <w:rPr>
                <w:rFonts w:hint="eastAsia" w:ascii="宋体" w:hAnsi="宋体"/>
                <w:kern w:val="0"/>
                <w:szCs w:val="21"/>
                <w:lang w:val="en-US" w:eastAsia="zh-CN"/>
              </w:rPr>
            </w:pPr>
            <w:r>
              <w:rPr>
                <w:rFonts w:hint="eastAsia" w:ascii="宋体" w:hAnsi="宋体" w:cs="宋体"/>
                <w:b w:val="0"/>
                <w:bCs w:val="0"/>
                <w:sz w:val="24"/>
                <w:lang w:val="en-US" w:eastAsia="zh-CN"/>
              </w:rPr>
              <w:t>6.</w:t>
            </w:r>
            <w:r>
              <w:rPr>
                <w:rFonts w:hint="eastAsia" w:ascii="宋体" w:hAnsi="宋体" w:eastAsia="宋体" w:cs="宋体"/>
                <w:b w:val="0"/>
                <w:bCs w:val="0"/>
                <w:sz w:val="24"/>
              </w:rPr>
              <w:t>“美学”“古代文论”“西方文论”“马列文论”建议设为选修课程</w:t>
            </w:r>
            <w:r>
              <w:rPr>
                <w:rFonts w:hint="eastAsia" w:ascii="宋体" w:hAnsi="宋体" w:eastAsia="宋体" w:cs="宋体"/>
                <w:b w:val="0"/>
                <w:bCs w:val="0"/>
                <w:sz w:val="24"/>
                <w:lang w:eastAsia="zh-CN"/>
              </w:rPr>
              <w:t>，而不是必修。</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75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both"/>
              <w:textAlignment w:val="auto"/>
              <w:outlineLvl w:val="9"/>
              <w:rPr>
                <w:rFonts w:hint="eastAsia" w:ascii="宋体" w:hAnsi="宋体" w:cs="宋体"/>
                <w:b w:val="0"/>
                <w:bCs w:val="0"/>
                <w:sz w:val="24"/>
                <w:szCs w:val="24"/>
                <w:lang w:val="en-US" w:eastAsia="zh-CN"/>
              </w:rPr>
            </w:pPr>
            <w:r>
              <w:rPr>
                <w:rFonts w:hint="eastAsia" w:ascii="宋体" w:hAnsi="宋体" w:cs="宋体"/>
                <w:b w:val="0"/>
                <w:bCs w:val="0"/>
                <w:sz w:val="24"/>
                <w:lang w:val="en-US" w:eastAsia="zh-CN"/>
              </w:rPr>
              <w:t>7.</w:t>
            </w:r>
            <w:r>
              <w:rPr>
                <w:rFonts w:hint="eastAsia" w:ascii="宋体" w:hAnsi="宋体" w:eastAsia="宋体" w:cs="宋体"/>
                <w:b w:val="0"/>
                <w:bCs w:val="0"/>
                <w:sz w:val="24"/>
              </w:rPr>
              <w:t>学科专业拓展课程</w:t>
            </w:r>
            <w:r>
              <w:rPr>
                <w:rFonts w:hint="eastAsia" w:ascii="宋体" w:hAnsi="宋体" w:eastAsia="宋体" w:cs="宋体"/>
                <w:b w:val="0"/>
                <w:bCs w:val="0"/>
                <w:sz w:val="24"/>
                <w:lang w:eastAsia="zh-CN"/>
              </w:rPr>
              <w:t>，选修的学分过少，应至少设置</w:t>
            </w:r>
            <w:r>
              <w:rPr>
                <w:rFonts w:hint="eastAsia" w:ascii="宋体" w:hAnsi="宋体" w:eastAsia="宋体" w:cs="宋体"/>
                <w:b w:val="0"/>
                <w:bCs w:val="0"/>
                <w:sz w:val="24"/>
                <w:lang w:val="en-US" w:eastAsia="zh-CN"/>
              </w:rPr>
              <w:t>10学分用于学生自主选修。</w:t>
            </w:r>
            <w:r>
              <w:rPr>
                <w:rFonts w:hint="eastAsia" w:ascii="宋体" w:hAnsi="宋体" w:eastAsia="宋体" w:cs="宋体"/>
                <w:b w:val="0"/>
                <w:bCs w:val="0"/>
                <w:sz w:val="24"/>
                <w:lang w:eastAsia="zh-CN"/>
              </w:rPr>
              <w:t>目前</w:t>
            </w:r>
            <w:r>
              <w:rPr>
                <w:rFonts w:hint="eastAsia" w:ascii="宋体" w:hAnsi="宋体" w:eastAsia="宋体" w:cs="宋体"/>
                <w:b w:val="0"/>
                <w:bCs w:val="0"/>
                <w:sz w:val="24"/>
              </w:rPr>
              <w:t>可供学生选修的课程资源仍不够丰富，专业拓展仍有待扩充，尤其是高年级的各类研读性、专题性的选修课程还比较少。</w:t>
            </w:r>
            <w:r>
              <w:rPr>
                <w:rFonts w:hint="eastAsia" w:ascii="宋体" w:hAnsi="宋体" w:eastAsia="宋体" w:cs="宋体"/>
                <w:b w:val="0"/>
                <w:bCs w:val="0"/>
                <w:sz w:val="24"/>
                <w:szCs w:val="24"/>
              </w:rPr>
              <w:t>文化经典课程还应多些，以更突出专业特色</w:t>
            </w:r>
            <w:r>
              <w:rPr>
                <w:rFonts w:hint="eastAsia" w:ascii="宋体" w:hAnsi="宋体" w:cs="宋体"/>
                <w:b w:val="0"/>
                <w:bCs w:val="0"/>
                <w:sz w:val="24"/>
                <w:szCs w:val="24"/>
                <w:lang w:eastAsia="zh-CN"/>
              </w:rPr>
              <w:t>，</w:t>
            </w:r>
            <w:r>
              <w:rPr>
                <w:rFonts w:ascii="宋体" w:hAnsi="宋体" w:eastAsia="宋体" w:cs="宋体"/>
                <w:bCs/>
                <w:sz w:val="24"/>
                <w:szCs w:val="24"/>
                <w:lang w:val="zh-TW" w:eastAsia="zh-TW"/>
              </w:rPr>
              <w:t>提高课程</w:t>
            </w:r>
            <w:r>
              <w:rPr>
                <w:rFonts w:hint="eastAsia" w:ascii="宋体" w:hAnsi="宋体" w:eastAsia="宋体" w:cs="宋体"/>
                <w:bCs/>
                <w:sz w:val="24"/>
                <w:szCs w:val="24"/>
                <w:lang w:val="zh-TW" w:eastAsia="zh-CN"/>
              </w:rPr>
              <w:t>类型或领域</w:t>
            </w:r>
            <w:r>
              <w:rPr>
                <w:rFonts w:ascii="宋体" w:hAnsi="宋体" w:eastAsia="宋体" w:cs="宋体"/>
                <w:bCs/>
                <w:sz w:val="24"/>
                <w:szCs w:val="24"/>
                <w:lang w:val="zh-TW" w:eastAsia="zh-TW"/>
              </w:rPr>
              <w:t>的多样化</w:t>
            </w:r>
            <w:r>
              <w:rPr>
                <w:rFonts w:hint="eastAsia" w:ascii="宋体" w:hAnsi="宋体" w:cs="宋体"/>
                <w:bCs/>
                <w:sz w:val="24"/>
                <w:szCs w:val="24"/>
                <w:lang w:val="zh-TW" w:eastAsia="zh-CN"/>
              </w:rPr>
              <w:t>，</w:t>
            </w:r>
            <w:r>
              <w:rPr>
                <w:rFonts w:ascii="宋体" w:hAnsi="宋体" w:eastAsia="宋体" w:cs="宋体"/>
                <w:bCs/>
                <w:sz w:val="24"/>
                <w:szCs w:val="24"/>
                <w:lang w:val="zh-TW" w:eastAsia="zh-TW"/>
              </w:rPr>
              <w:t>满足学生就业、考研和跨学科发展的多样化需求</w:t>
            </w:r>
            <w:r>
              <w:rPr>
                <w:rFonts w:hint="eastAsia" w:ascii="宋体" w:hAnsi="宋体" w:cs="宋体"/>
                <w:bCs/>
                <w:sz w:val="24"/>
                <w:szCs w:val="24"/>
                <w:lang w:val="zh-TW" w:eastAsia="zh-CN"/>
              </w:rPr>
              <w:t>。</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75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right="0" w:rightChars="0"/>
              <w:jc w:val="both"/>
              <w:textAlignment w:val="auto"/>
              <w:outlineLvl w:val="9"/>
              <w:rPr>
                <w:rFonts w:hint="eastAsia" w:ascii="宋体" w:hAnsi="宋体" w:cs="宋体"/>
                <w:b w:val="0"/>
                <w:bCs w:val="0"/>
                <w:sz w:val="24"/>
                <w:lang w:val="en-US" w:eastAsia="zh-CN"/>
              </w:rPr>
            </w:pPr>
            <w:r>
              <w:rPr>
                <w:rFonts w:hint="eastAsia" w:ascii="宋体" w:hAnsi="宋体" w:cs="宋体"/>
                <w:b w:val="0"/>
                <w:bCs w:val="0"/>
                <w:sz w:val="24"/>
                <w:lang w:val="en-US" w:eastAsia="zh-CN"/>
              </w:rPr>
              <w:t>8.</w:t>
            </w:r>
            <w:r>
              <w:rPr>
                <w:rFonts w:hint="eastAsia" w:ascii="宋体" w:hAnsi="宋体" w:eastAsia="宋体" w:cs="宋体"/>
                <w:b w:val="0"/>
                <w:bCs w:val="0"/>
                <w:sz w:val="24"/>
              </w:rPr>
              <w:t>附表二“各学期教学活动时间安排”需要复核，第一、二、四、六、七学期各项教学活动分配之周数与总的教学周数不符。</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82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9.</w:t>
            </w:r>
            <w:r>
              <w:rPr>
                <w:rFonts w:hint="eastAsia" w:ascii="宋体" w:hAnsi="宋体"/>
                <w:sz w:val="24"/>
                <w:lang w:eastAsia="zh-CN"/>
              </w:rPr>
              <w:t>建议开设相关创新创业教育专业课程，直接支撑</w:t>
            </w:r>
            <w:r>
              <w:rPr>
                <w:rFonts w:hint="eastAsia" w:ascii="宋体" w:hAnsi="宋体"/>
                <w:sz w:val="24"/>
                <w:lang w:val="en-US" w:eastAsia="zh-CN"/>
              </w:rPr>
              <w:t>学生</w:t>
            </w:r>
            <w:r>
              <w:rPr>
                <w:rFonts w:hint="eastAsia" w:ascii="宋体" w:hAnsi="宋体"/>
                <w:sz w:val="24"/>
                <w:lang w:eastAsia="zh-CN"/>
              </w:rPr>
              <w:t>创新能力的培养，实现创新创业教育与专业教育相结合。</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82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10.建议设置涉海课程2-3门，凸显该专业的海洋特色，更好地支撑学校海洋人才培养的总体目标。</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方正书宋简体">
    <w:altName w:val="宋体"/>
    <w:panose1 w:val="03000509000000000000"/>
    <w:charset w:val="86"/>
    <w:family w:val="script"/>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他">
    <w:altName w:val="宋体"/>
    <w:panose1 w:val="00000000000000000000"/>
    <w:charset w:val="86"/>
    <w:family w:val="roman"/>
    <w:pitch w:val="default"/>
    <w:sig w:usb0="00000000" w:usb1="00000000" w:usb2="00000000" w:usb3="00000000" w:csb0="00000000" w:csb1="00000000"/>
  </w:font>
  <w:font w:name="瀹嬩綋">
    <w:altName w:val="宋体"/>
    <w:panose1 w:val="00000000000000000000"/>
    <w:charset w:val="86"/>
    <w:family w:val="roma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American Typewriter">
    <w:altName w:val="MV Boli"/>
    <w:panose1 w:val="00000000000000000000"/>
    <w:charset w:val="00"/>
    <w:family w:val="auto"/>
    <w:pitch w:val="default"/>
    <w:sig w:usb0="00000000" w:usb1="00000000" w:usb2="00000000" w:usb3="00000000" w:csb0="00000111" w:csb1="00000000"/>
  </w:font>
  <w:font w:name="楷体_GB2312">
    <w:altName w:val="楷体"/>
    <w:panose1 w:val="02010609030101010101"/>
    <w:charset w:val="86"/>
    <w:family w:val="modern"/>
    <w:pitch w:val="default"/>
    <w:sig w:usb0="00000000" w:usb1="00000000" w:usb2="00000010" w:usb3="00000000" w:csb0="00040000" w:csb1="00000000"/>
  </w:font>
  <w:font w:name="方正宋黑简体">
    <w:altName w:val="宋体"/>
    <w:panose1 w:val="03000509000000000000"/>
    <w:charset w:val="86"/>
    <w:family w:val="script"/>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华文隶书">
    <w:altName w:val="微软雅黑"/>
    <w:panose1 w:val="02010800040101010101"/>
    <w:charset w:val="86"/>
    <w:family w:val="auto"/>
    <w:pitch w:val="default"/>
    <w:sig w:usb0="00000000" w:usb1="00000000" w:usb2="00000010" w:usb3="00000000" w:csb0="00040000" w:csb1="00000000"/>
  </w:font>
  <w:font w:name="MV Boli">
    <w:panose1 w:val="02000500030200090000"/>
    <w:charset w:val="00"/>
    <w:family w:val="auto"/>
    <w:pitch w:val="default"/>
    <w:sig w:usb0="00000003" w:usb1="00000000" w:usb2="00000100" w:usb3="00000000" w:csb0="00000001" w:csb1="00000000"/>
  </w:font>
  <w:font w:name="方正小标宋_GBK">
    <w:altName w:val="微软雅黑"/>
    <w:panose1 w:val="03000509000000000000"/>
    <w:charset w:val="86"/>
    <w:family w:val="script"/>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Georgia">
    <w:panose1 w:val="02040502050405020303"/>
    <w:charset w:val="00"/>
    <w:family w:val="roman"/>
    <w:pitch w:val="default"/>
    <w:sig w:usb0="00000287" w:usb1="00000000" w:usb2="00000000" w:usb3="00000000" w:csb0="2000009F" w:csb1="00000000"/>
  </w:font>
  <w:font w:name="Arial Unicode MS">
    <w:altName w:val="Arial"/>
    <w:panose1 w:val="020B0604020202020204"/>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10E3A83"/>
    <w:rsid w:val="06B86671"/>
    <w:rsid w:val="07533E9D"/>
    <w:rsid w:val="07ED2627"/>
    <w:rsid w:val="0AE47EBC"/>
    <w:rsid w:val="0C1B4C2C"/>
    <w:rsid w:val="0C245C9C"/>
    <w:rsid w:val="0EA86D90"/>
    <w:rsid w:val="102C0A0F"/>
    <w:rsid w:val="117201E8"/>
    <w:rsid w:val="117E3F4D"/>
    <w:rsid w:val="119909E7"/>
    <w:rsid w:val="12DB5170"/>
    <w:rsid w:val="16C47058"/>
    <w:rsid w:val="17830759"/>
    <w:rsid w:val="1AE61066"/>
    <w:rsid w:val="1BDB6B4F"/>
    <w:rsid w:val="204E2E4D"/>
    <w:rsid w:val="224668AD"/>
    <w:rsid w:val="22A56461"/>
    <w:rsid w:val="23C55634"/>
    <w:rsid w:val="26E14A51"/>
    <w:rsid w:val="286315C3"/>
    <w:rsid w:val="28A97586"/>
    <w:rsid w:val="2BB96F1F"/>
    <w:rsid w:val="2BE447B2"/>
    <w:rsid w:val="2EF53201"/>
    <w:rsid w:val="2EFC1D06"/>
    <w:rsid w:val="2FA40A26"/>
    <w:rsid w:val="32CF4094"/>
    <w:rsid w:val="339F1CCA"/>
    <w:rsid w:val="33A81B5C"/>
    <w:rsid w:val="3A13386D"/>
    <w:rsid w:val="3FC10002"/>
    <w:rsid w:val="40362E40"/>
    <w:rsid w:val="405C2FAB"/>
    <w:rsid w:val="4200142C"/>
    <w:rsid w:val="45351B7E"/>
    <w:rsid w:val="466E4269"/>
    <w:rsid w:val="467961A3"/>
    <w:rsid w:val="4D8F6D71"/>
    <w:rsid w:val="51FE4AD9"/>
    <w:rsid w:val="52963093"/>
    <w:rsid w:val="537A24F9"/>
    <w:rsid w:val="57A530DF"/>
    <w:rsid w:val="581919D7"/>
    <w:rsid w:val="590B752E"/>
    <w:rsid w:val="5A8A533A"/>
    <w:rsid w:val="5C3E6532"/>
    <w:rsid w:val="607654DC"/>
    <w:rsid w:val="630A4728"/>
    <w:rsid w:val="68796044"/>
    <w:rsid w:val="6AEB4794"/>
    <w:rsid w:val="6B1F12DC"/>
    <w:rsid w:val="6E517661"/>
    <w:rsid w:val="712850BB"/>
    <w:rsid w:val="72552A18"/>
    <w:rsid w:val="7560229C"/>
    <w:rsid w:val="75E12EAE"/>
    <w:rsid w:val="76413CF9"/>
    <w:rsid w:val="7790026F"/>
    <w:rsid w:val="77997E4F"/>
    <w:rsid w:val="77C27E57"/>
    <w:rsid w:val="7A221B81"/>
    <w:rsid w:val="7C4F0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2017-12-25T07:32:28Z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