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7469"/>
        <w:gridCol w:w="664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8"/>
                <w:szCs w:val="28"/>
                <w:lang w:val="en-US" w:eastAsia="zh-CN"/>
              </w:rPr>
              <w:t>秘书学文学</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7469"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6648"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w:t>
            </w:r>
            <w:r>
              <w:rPr>
                <w:rFonts w:hint="eastAsia" w:ascii="宋体" w:hAnsi="宋体" w:eastAsia="宋体" w:cs="宋体"/>
                <w:b w:val="0"/>
                <w:bCs w:val="0"/>
                <w:sz w:val="24"/>
                <w:szCs w:val="24"/>
              </w:rPr>
              <w:t>培养目标</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培养要求</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培养方案</w:t>
            </w:r>
            <w:r>
              <w:rPr>
                <w:rFonts w:hint="eastAsia" w:ascii="宋体" w:hAnsi="宋体" w:eastAsia="宋体" w:cs="宋体"/>
                <w:b w:val="0"/>
                <w:bCs w:val="0"/>
                <w:sz w:val="24"/>
                <w:szCs w:val="24"/>
                <w:lang w:eastAsia="zh-CN"/>
              </w:rPr>
              <w:t>可分别参照</w:t>
            </w:r>
            <w:r>
              <w:rPr>
                <w:rFonts w:hint="eastAsia" w:ascii="宋体" w:hAnsi="宋体" w:eastAsia="宋体" w:cs="宋体"/>
                <w:b w:val="0"/>
                <w:bCs w:val="0"/>
                <w:sz w:val="24"/>
                <w:szCs w:val="24"/>
              </w:rPr>
              <w:t>教育部《普通高等学校本科专业目录和专业介绍》（2012年）</w:t>
            </w:r>
            <w:r>
              <w:rPr>
                <w:rFonts w:hint="eastAsia" w:ascii="宋体" w:hAnsi="宋体" w:eastAsia="宋体" w:cs="宋体"/>
                <w:b w:val="0"/>
                <w:bCs w:val="0"/>
                <w:sz w:val="24"/>
                <w:szCs w:val="24"/>
                <w:lang w:eastAsia="zh-CN"/>
              </w:rPr>
              <w:t>等文件，</w:t>
            </w:r>
            <w:r>
              <w:rPr>
                <w:rFonts w:hint="eastAsia" w:ascii="宋体" w:hAnsi="宋体" w:eastAsia="宋体" w:cs="宋体"/>
                <w:b w:val="0"/>
                <w:bCs w:val="0"/>
                <w:sz w:val="24"/>
                <w:szCs w:val="24"/>
              </w:rPr>
              <w:t>加以</w:t>
            </w:r>
            <w:r>
              <w:rPr>
                <w:rFonts w:hint="eastAsia" w:ascii="宋体" w:hAnsi="宋体" w:eastAsia="宋体" w:cs="宋体"/>
                <w:b w:val="0"/>
                <w:bCs w:val="0"/>
                <w:sz w:val="24"/>
                <w:szCs w:val="24"/>
                <w:lang w:eastAsia="zh-CN"/>
              </w:rPr>
              <w:t>进一步的</w:t>
            </w:r>
            <w:r>
              <w:rPr>
                <w:rFonts w:hint="eastAsia" w:ascii="宋体" w:hAnsi="宋体" w:eastAsia="宋体" w:cs="宋体"/>
                <w:b w:val="0"/>
                <w:bCs w:val="0"/>
                <w:sz w:val="24"/>
                <w:szCs w:val="24"/>
              </w:rPr>
              <w:t>规范。</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sz w:val="24"/>
                <w:szCs w:val="24"/>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w:t>
            </w:r>
            <w:r>
              <w:rPr>
                <w:rFonts w:hint="eastAsia"/>
                <w:b/>
                <w:bCs/>
                <w:color w:val="000000"/>
                <w:kern w:val="2"/>
                <w:sz w:val="24"/>
                <w:szCs w:val="24"/>
              </w:rPr>
              <w:t>培养目标（标准）、毕业要求与课程体系关系表</w:t>
            </w:r>
            <w:r>
              <w:rPr>
                <w:rFonts w:hint="eastAsia"/>
                <w:b/>
                <w:bCs/>
                <w:color w:val="000000"/>
                <w:kern w:val="2"/>
                <w:sz w:val="24"/>
                <w:szCs w:val="24"/>
                <w:lang w:eastAsia="zh-CN"/>
              </w:rPr>
              <w:t>”需要梳理、完善。</w:t>
            </w:r>
            <w:r>
              <w:rPr>
                <w:rFonts w:hint="eastAsia"/>
                <w:b w:val="0"/>
                <w:bCs w:val="0"/>
                <w:color w:val="000000"/>
                <w:kern w:val="2"/>
                <w:sz w:val="24"/>
                <w:szCs w:val="24"/>
                <w:lang w:eastAsia="zh-CN"/>
              </w:rPr>
              <w:t>（</w:t>
            </w:r>
            <w:r>
              <w:rPr>
                <w:rFonts w:hint="eastAsia"/>
                <w:b w:val="0"/>
                <w:bCs w:val="0"/>
                <w:color w:val="000000"/>
                <w:kern w:val="2"/>
                <w:sz w:val="24"/>
                <w:szCs w:val="24"/>
                <w:lang w:val="en-US" w:eastAsia="zh-CN"/>
              </w:rPr>
              <w:t>1）总体上，</w:t>
            </w:r>
            <w:r>
              <w:rPr>
                <w:rFonts w:hint="eastAsia" w:ascii="宋体" w:hAnsi="宋体" w:eastAsia="宋体" w:cs="宋体"/>
                <w:sz w:val="24"/>
                <w:szCs w:val="24"/>
              </w:rPr>
              <w:t>毕业要求</w:t>
            </w:r>
            <w:r>
              <w:rPr>
                <w:rFonts w:hint="eastAsia" w:ascii="宋体" w:hAnsi="宋体" w:eastAsia="宋体" w:cs="宋体"/>
                <w:sz w:val="24"/>
                <w:szCs w:val="24"/>
                <w:lang w:eastAsia="zh-CN"/>
              </w:rPr>
              <w:t>要</w:t>
            </w:r>
            <w:r>
              <w:rPr>
                <w:rFonts w:hint="eastAsia" w:ascii="宋体" w:hAnsi="宋体" w:eastAsia="宋体" w:cs="宋体"/>
                <w:sz w:val="24"/>
                <w:szCs w:val="24"/>
              </w:rPr>
              <w:t>充分体现专业核心内容</w:t>
            </w:r>
            <w:r>
              <w:rPr>
                <w:rFonts w:hint="eastAsia" w:ascii="宋体" w:hAnsi="宋体" w:eastAsia="宋体" w:cs="宋体"/>
                <w:sz w:val="24"/>
                <w:szCs w:val="24"/>
                <w:lang w:eastAsia="zh-CN"/>
              </w:rPr>
              <w:t>，</w:t>
            </w:r>
            <w:r>
              <w:rPr>
                <w:rFonts w:hint="eastAsia" w:ascii="宋体" w:hAnsi="宋体" w:cs="宋体"/>
                <w:sz w:val="24"/>
                <w:szCs w:val="24"/>
                <w:lang w:eastAsia="zh-CN"/>
              </w:rPr>
              <w:t>全面反映人才培养目标内涵；指标点应全面覆盖毕业要求。应</w:t>
            </w:r>
            <w:r>
              <w:rPr>
                <w:rFonts w:hint="eastAsia" w:ascii="宋体" w:hAnsi="宋体" w:eastAsia="宋体" w:cs="宋体"/>
                <w:sz w:val="24"/>
                <w:szCs w:val="24"/>
                <w:lang w:eastAsia="zh-CN"/>
              </w:rPr>
              <w:t>注意</w:t>
            </w:r>
            <w:r>
              <w:rPr>
                <w:rFonts w:hint="eastAsia" w:ascii="宋体" w:hAnsi="宋体" w:eastAsia="宋体" w:cs="宋体"/>
                <w:sz w:val="24"/>
                <w:szCs w:val="24"/>
              </w:rPr>
              <w:t>逻辑性和递进性</w:t>
            </w:r>
            <w:r>
              <w:rPr>
                <w:rFonts w:hint="eastAsia" w:ascii="宋体" w:hAnsi="宋体" w:eastAsia="宋体" w:cs="宋体"/>
                <w:sz w:val="24"/>
                <w:szCs w:val="24"/>
                <w:lang w:eastAsia="zh-CN"/>
              </w:rPr>
              <w:t>，避免毕业要求之间、指标点之间内涵的重复</w:t>
            </w:r>
            <w:r>
              <w:rPr>
                <w:rFonts w:hint="eastAsia" w:ascii="宋体" w:hAnsi="宋体" w:cs="宋体"/>
                <w:sz w:val="24"/>
                <w:szCs w:val="24"/>
                <w:lang w:val="en-US" w:eastAsia="zh-CN"/>
              </w:rPr>
              <w:t>,</w:t>
            </w:r>
            <w:r>
              <w:rPr>
                <w:rFonts w:hint="eastAsia" w:ascii="宋体" w:hAnsi="宋体" w:eastAsia="宋体" w:cs="宋体"/>
                <w:sz w:val="24"/>
                <w:szCs w:val="24"/>
                <w:lang w:eastAsia="zh-CN"/>
              </w:rPr>
              <w:t>避免</w:t>
            </w:r>
            <w:r>
              <w:rPr>
                <w:rFonts w:hint="eastAsia" w:ascii="宋体" w:hAnsi="宋体" w:eastAsia="宋体" w:cs="宋体"/>
                <w:sz w:val="24"/>
                <w:szCs w:val="24"/>
              </w:rPr>
              <w:t>毕业要求</w:t>
            </w:r>
            <w:r>
              <w:rPr>
                <w:rFonts w:hint="eastAsia" w:ascii="宋体" w:hAnsi="宋体" w:eastAsia="宋体" w:cs="宋体"/>
                <w:sz w:val="24"/>
                <w:szCs w:val="24"/>
                <w:lang w:eastAsia="zh-CN"/>
              </w:rPr>
              <w:t>与</w:t>
            </w:r>
            <w:r>
              <w:rPr>
                <w:rFonts w:hint="eastAsia" w:ascii="宋体" w:hAnsi="宋体" w:eastAsia="宋体" w:cs="宋体"/>
                <w:sz w:val="24"/>
                <w:szCs w:val="24"/>
              </w:rPr>
              <w:t>课程设置</w:t>
            </w:r>
            <w:r>
              <w:rPr>
                <w:rFonts w:hint="eastAsia" w:ascii="宋体" w:hAnsi="宋体" w:eastAsia="宋体" w:cs="宋体"/>
                <w:sz w:val="24"/>
                <w:szCs w:val="24"/>
                <w:lang w:eastAsia="zh-CN"/>
              </w:rPr>
              <w:t>之间的</w:t>
            </w:r>
            <w:r>
              <w:rPr>
                <w:rFonts w:hint="eastAsia" w:ascii="宋体" w:hAnsi="宋体" w:eastAsia="宋体" w:cs="宋体"/>
                <w:sz w:val="24"/>
                <w:szCs w:val="24"/>
              </w:rPr>
              <w:t>剥离。</w:t>
            </w:r>
            <w:r>
              <w:rPr>
                <w:rFonts w:hint="eastAsia" w:ascii="宋体" w:hAnsi="宋体"/>
                <w:sz w:val="24"/>
                <w:lang w:eastAsia="zh-CN"/>
              </w:rPr>
              <w:t>本专业“</w:t>
            </w:r>
            <w:r>
              <w:rPr>
                <w:rFonts w:hint="eastAsia" w:ascii="宋体" w:hAnsi="宋体"/>
                <w:sz w:val="24"/>
              </w:rPr>
              <w:t>关系表</w:t>
            </w:r>
            <w:r>
              <w:rPr>
                <w:rFonts w:hint="eastAsia" w:ascii="宋体" w:hAnsi="宋体"/>
                <w:sz w:val="24"/>
                <w:lang w:eastAsia="zh-CN"/>
              </w:rPr>
              <w:t>”</w:t>
            </w:r>
            <w:r>
              <w:rPr>
                <w:rFonts w:hint="eastAsia" w:ascii="宋体" w:hAnsi="宋体"/>
                <w:sz w:val="24"/>
              </w:rPr>
              <w:t>中，指标点</w:t>
            </w:r>
            <w:r>
              <w:rPr>
                <w:rFonts w:hint="eastAsia" w:ascii="宋体" w:hAnsi="宋体"/>
                <w:sz w:val="24"/>
                <w:lang w:eastAsia="zh-CN"/>
              </w:rPr>
              <w:t>能否全面支撑毕业要求和培养目标，</w:t>
            </w:r>
            <w:r>
              <w:rPr>
                <w:rFonts w:hint="eastAsia" w:ascii="宋体" w:hAnsi="宋体"/>
                <w:sz w:val="24"/>
              </w:rPr>
              <w:t>有待斟酌和商榷，需要认真考虑他们之间的内涵和区分点；毕业要求、指标点、课程设置之间的内在逻辑关系有待进一步深思、斟酌。</w:t>
            </w:r>
            <w:r>
              <w:rPr>
                <w:rFonts w:hint="eastAsia" w:ascii="宋体" w:hAnsi="宋体" w:eastAsia="宋体" w:cs="宋体"/>
                <w:sz w:val="24"/>
                <w:szCs w:val="24"/>
              </w:rPr>
              <w:t>在《广东海洋大学关于学分制人才培养方案修订工作的指导意见》中，有关各板块课程的设计与能力培养之间的关系有了较详细的说明介绍，建议结合《广东海洋大学关于学分制人才培养方案修订工作的指导意见》来描述人才培养目标及要求。</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2）“三、关系表”中的“毕业要求”应与“二、毕业要求”一致；指标点不能全面支撑和反映“二、毕业要求”；</w:t>
            </w:r>
          </w:p>
          <w:p>
            <w:pPr>
              <w:keepNext w:val="0"/>
              <w:keepLines w:val="0"/>
              <w:pageBreakBefore w:val="0"/>
              <w:widowControl w:val="0"/>
              <w:tabs>
                <w:tab w:val="left" w:pos="747"/>
              </w:tabs>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eastAsia="宋体" w:cs="宋体"/>
                <w:b w:val="0"/>
                <w:bCs/>
                <w:color w:val="000000"/>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b w:val="0"/>
                <w:bCs/>
                <w:color w:val="000000"/>
                <w:sz w:val="24"/>
                <w:szCs w:val="24"/>
                <w:lang w:eastAsia="zh-CN"/>
              </w:rPr>
              <w:t>要将培养方案中每一门课程（含实践环节）列入关系表中，体现每一门课程对培养目标、毕业要求的支撑和贡献度。不能用笼统的课程类进行描述，比如“</w:t>
            </w:r>
            <w:r>
              <w:rPr>
                <w:rFonts w:hint="eastAsia" w:ascii="宋体" w:hAnsi="宋体" w:eastAsia="宋体" w:cs="宋体"/>
                <w:sz w:val="24"/>
                <w:szCs w:val="24"/>
              </w:rPr>
              <w:t>1-2 跨学科知识技能</w:t>
            </w:r>
            <w:r>
              <w:rPr>
                <w:rFonts w:hint="eastAsia" w:ascii="宋体" w:hAnsi="宋体" w:eastAsia="宋体" w:cs="宋体"/>
                <w:b w:val="0"/>
                <w:bCs/>
                <w:color w:val="000000"/>
                <w:sz w:val="24"/>
                <w:szCs w:val="24"/>
                <w:lang w:eastAsia="zh-CN"/>
              </w:rPr>
              <w:t>”，列出“</w:t>
            </w:r>
            <w:r>
              <w:rPr>
                <w:rFonts w:hint="eastAsia" w:ascii="宋体" w:hAnsi="宋体" w:eastAsia="宋体" w:cs="宋体"/>
                <w:sz w:val="24"/>
                <w:szCs w:val="24"/>
              </w:rPr>
              <w:t>逻辑学及法学类、经济学类、管理学类、艺术学类共15学分课程</w:t>
            </w:r>
            <w:r>
              <w:rPr>
                <w:rFonts w:hint="eastAsia" w:ascii="宋体" w:hAnsi="宋体" w:eastAsia="宋体" w:cs="宋体"/>
                <w:b w:val="0"/>
                <w:bCs/>
                <w:color w:val="000000"/>
                <w:sz w:val="24"/>
                <w:szCs w:val="24"/>
                <w:lang w:eastAsia="zh-CN"/>
              </w:rPr>
              <w:t>”，这些是需要用附表中的具体课程来写明（暂时无法确定具体课程的通识教育选修课除外）。类似情况需要进一步梳理。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val="0"/>
                <w:bCs/>
                <w:color w:val="000000"/>
                <w:sz w:val="24"/>
                <w:szCs w:val="24"/>
                <w:lang w:eastAsia="zh-CN"/>
              </w:rPr>
              <w:t>（</w:t>
            </w:r>
            <w:r>
              <w:rPr>
                <w:rFonts w:hint="eastAsia" w:ascii="宋体" w:hAnsi="宋体" w:eastAsia="宋体" w:cs="宋体"/>
                <w:b w:val="0"/>
                <w:bCs/>
                <w:color w:val="000000"/>
                <w:sz w:val="24"/>
                <w:szCs w:val="24"/>
                <w:lang w:val="en-US" w:eastAsia="zh-CN"/>
              </w:rPr>
              <w:t>4）</w:t>
            </w:r>
            <w:r>
              <w:rPr>
                <w:rFonts w:hint="eastAsia" w:ascii="宋体" w:hAnsi="宋体" w:eastAsia="宋体" w:cs="宋体"/>
                <w:b w:val="0"/>
                <w:bCs/>
                <w:color w:val="000000"/>
                <w:sz w:val="24"/>
                <w:szCs w:val="24"/>
                <w:lang w:eastAsia="zh-CN"/>
              </w:rPr>
              <w:t>关</w:t>
            </w:r>
            <w:r>
              <w:rPr>
                <w:rFonts w:hint="eastAsia" w:ascii="宋体" w:hAnsi="宋体" w:eastAsia="宋体" w:cs="宋体"/>
                <w:b w:val="0"/>
                <w:bCs/>
                <w:color w:val="000000"/>
                <w:kern w:val="2"/>
                <w:sz w:val="24"/>
                <w:szCs w:val="24"/>
                <w:lang w:eastAsia="zh-CN"/>
              </w:rPr>
              <w:t>系表中所列课程要全面支撑指标点内涵。同一门课程可以支撑多个指标点和毕业要求</w:t>
            </w:r>
            <w:r>
              <w:rPr>
                <w:rFonts w:hint="eastAsia" w:ascii="宋体" w:hAnsi="宋体" w:eastAsia="宋体" w:cs="宋体"/>
                <w:b w:val="0"/>
                <w:bCs/>
                <w:color w:val="000000"/>
                <w:sz w:val="24"/>
                <w:szCs w:val="24"/>
                <w:lang w:eastAsia="zh-CN"/>
              </w:rPr>
              <w:t>。</w:t>
            </w:r>
            <w:r>
              <w:rPr>
                <w:rFonts w:hint="eastAsia" w:ascii="宋体" w:hAnsi="宋体" w:eastAsia="宋体" w:cs="宋体"/>
                <w:b w:val="0"/>
                <w:bCs/>
                <w:color w:val="000000"/>
                <w:kern w:val="2"/>
                <w:sz w:val="24"/>
                <w:szCs w:val="24"/>
                <w:lang w:eastAsia="zh-CN"/>
              </w:rPr>
              <w:t>建议将关系表进一步梳理、检查。</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lang w:val="en-US" w:eastAsia="zh-CN"/>
              </w:rPr>
            </w:pPr>
            <w:r>
              <w:rPr>
                <w:rFonts w:hint="eastAsia" w:ascii="宋体" w:hAnsi="宋体" w:cs="宋体"/>
                <w:b w:val="0"/>
                <w:bCs w:val="0"/>
                <w:sz w:val="24"/>
                <w:lang w:val="en-US" w:eastAsia="zh-CN"/>
              </w:rPr>
              <w:t>3.</w:t>
            </w:r>
            <w:r>
              <w:rPr>
                <w:rFonts w:hint="eastAsia" w:ascii="宋体" w:hAnsi="宋体" w:eastAsia="宋体" w:cs="宋体"/>
                <w:b w:val="0"/>
                <w:bCs w:val="0"/>
                <w:sz w:val="24"/>
                <w:szCs w:val="24"/>
              </w:rPr>
              <w:t>跨学科基础课和学科专业拓展有利于拓展基础，但在课程配置上还可以优化。</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cs="宋体"/>
                <w:sz w:val="24"/>
                <w:lang w:val="en-US" w:eastAsia="zh-CN"/>
              </w:rPr>
            </w:pP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rPr>
              <w:t>专业教育核心课程过于细化，课程之间多有内容上的重叠</w:t>
            </w:r>
            <w:r>
              <w:rPr>
                <w:rFonts w:hint="eastAsia" w:ascii="宋体" w:hAnsi="宋体" w:eastAsia="宋体" w:cs="宋体"/>
                <w:b w:val="0"/>
                <w:bCs w:val="0"/>
                <w:sz w:val="24"/>
                <w:szCs w:val="24"/>
                <w:lang w:eastAsia="zh-CN"/>
              </w:rPr>
              <w:t>，如秘书事务文书写作、公文写作、秘书基础写作，建议整合。</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eastAsia="宋体" w:cs="宋体"/>
                <w:sz w:val="24"/>
                <w:lang w:val="en-US" w:eastAsia="zh-CN"/>
              </w:rPr>
            </w:pPr>
            <w:r>
              <w:rPr>
                <w:rFonts w:hint="eastAsia" w:ascii="宋体" w:hAnsi="宋体" w:cs="宋体"/>
                <w:sz w:val="24"/>
                <w:lang w:val="en-US" w:eastAsia="zh-CN"/>
              </w:rPr>
              <w:t>5.</w:t>
            </w:r>
            <w:r>
              <w:rPr>
                <w:rFonts w:hint="eastAsia" w:ascii="宋体" w:hAnsi="宋体" w:eastAsia="宋体" w:cs="宋体"/>
                <w:b w:val="0"/>
                <w:bCs w:val="0"/>
                <w:sz w:val="24"/>
              </w:rPr>
              <w:t>学科专业拓展课程</w:t>
            </w:r>
            <w:r>
              <w:rPr>
                <w:rFonts w:hint="eastAsia" w:ascii="宋体" w:hAnsi="宋体" w:eastAsia="宋体" w:cs="宋体"/>
                <w:b w:val="0"/>
                <w:bCs w:val="0"/>
                <w:sz w:val="24"/>
                <w:lang w:eastAsia="zh-CN"/>
              </w:rPr>
              <w:t>，</w:t>
            </w:r>
            <w:r>
              <w:rPr>
                <w:rFonts w:hint="eastAsia" w:ascii="宋体" w:hAnsi="宋体" w:cs="宋体"/>
                <w:b w:val="0"/>
                <w:bCs w:val="0"/>
                <w:sz w:val="24"/>
                <w:lang w:eastAsia="zh-CN"/>
              </w:rPr>
              <w:t>应全部为</w:t>
            </w:r>
            <w:r>
              <w:rPr>
                <w:rFonts w:hint="eastAsia" w:ascii="宋体" w:hAnsi="宋体" w:eastAsia="宋体" w:cs="宋体"/>
                <w:b w:val="0"/>
                <w:bCs w:val="0"/>
                <w:sz w:val="24"/>
                <w:lang w:eastAsia="zh-CN"/>
              </w:rPr>
              <w:t>选修</w:t>
            </w:r>
            <w:r>
              <w:rPr>
                <w:rFonts w:hint="eastAsia" w:ascii="宋体" w:hAnsi="宋体" w:cs="宋体"/>
                <w:b w:val="0"/>
                <w:bCs w:val="0"/>
                <w:sz w:val="24"/>
                <w:lang w:eastAsia="zh-CN"/>
              </w:rPr>
              <w:t>性质的课程。诸多课程全部设为必修课，失去学分制改革及学生自主选课的意义。</w:t>
            </w:r>
            <w:bookmarkStart w:id="0" w:name="_GoBack"/>
            <w:bookmarkEnd w:id="0"/>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kern w:val="0"/>
                <w:szCs w:val="21"/>
                <w:lang w:val="en-US" w:eastAsia="zh-CN"/>
              </w:rPr>
            </w:pP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rPr>
              <w:t>专业拓展模块开设有“新闻写作（二）”，却没有查到相应的“新闻写作（一）”，</w:t>
            </w:r>
            <w:r>
              <w:rPr>
                <w:rFonts w:hint="eastAsia" w:ascii="宋体" w:hAnsi="宋体" w:eastAsia="宋体" w:cs="宋体"/>
                <w:b w:val="0"/>
                <w:bCs w:val="0"/>
                <w:sz w:val="24"/>
                <w:szCs w:val="24"/>
                <w:lang w:eastAsia="zh-CN"/>
              </w:rPr>
              <w:t>请</w:t>
            </w:r>
            <w:r>
              <w:rPr>
                <w:rFonts w:hint="eastAsia" w:ascii="宋体" w:hAnsi="宋体" w:eastAsia="宋体" w:cs="宋体"/>
                <w:b w:val="0"/>
                <w:bCs w:val="0"/>
                <w:sz w:val="24"/>
                <w:szCs w:val="24"/>
              </w:rPr>
              <w:t>校对</w:t>
            </w:r>
            <w:r>
              <w:rPr>
                <w:rFonts w:hint="eastAsia" w:ascii="宋体" w:hAnsi="宋体" w:eastAsia="宋体" w:cs="宋体"/>
                <w:b w:val="0"/>
                <w:bCs w:val="0"/>
                <w:sz w:val="24"/>
                <w:szCs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75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7.</w:t>
            </w:r>
            <w:r>
              <w:rPr>
                <w:rFonts w:hint="eastAsia" w:ascii="宋体" w:hAnsi="宋体" w:eastAsia="宋体" w:cs="宋体"/>
                <w:b w:val="0"/>
                <w:bCs w:val="0"/>
                <w:sz w:val="24"/>
                <w:szCs w:val="24"/>
              </w:rPr>
              <w:t>附表二“各学期教学活动时间安排”应再做检查，第一、二、三、四、五、七学期的各项教学活动所占用周数相加，与学期周数不相吻合。</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82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8.</w:t>
            </w:r>
            <w:r>
              <w:rPr>
                <w:rFonts w:hint="eastAsia" w:ascii="宋体" w:hAnsi="宋体"/>
                <w:sz w:val="24"/>
                <w:lang w:eastAsia="zh-CN"/>
              </w:rPr>
              <w:t>建议开设相关创新创业教育专业课程，直接支撑</w:t>
            </w:r>
            <w:r>
              <w:rPr>
                <w:rFonts w:hint="eastAsia" w:ascii="宋体" w:hAnsi="宋体"/>
                <w:sz w:val="24"/>
                <w:lang w:val="en-US" w:eastAsia="zh-CN"/>
              </w:rPr>
              <w:t>学生</w:t>
            </w:r>
            <w:r>
              <w:rPr>
                <w:rFonts w:hint="eastAsia" w:ascii="宋体" w:hAnsi="宋体"/>
                <w:sz w:val="24"/>
                <w:lang w:eastAsia="zh-CN"/>
              </w:rPr>
              <w:t>创新能力的培养，实现创新创业教育与专业教育相结合。</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82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9.建议设置相关涉海课程，凸显该专业的海洋特色，更好地支撑学校海洋人才培养的总体目标。</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方正书宋简体">
    <w:altName w:val="宋体"/>
    <w:panose1 w:val="03000509000000000000"/>
    <w:charset w:val="86"/>
    <w:family w:val="script"/>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American Typewriter">
    <w:altName w:val="MV Boli"/>
    <w:panose1 w:val="00000000000000000000"/>
    <w:charset w:val="00"/>
    <w:family w:val="auto"/>
    <w:pitch w:val="default"/>
    <w:sig w:usb0="00000000" w:usb1="00000000" w:usb2="00000000" w:usb3="00000000" w:csb0="00000111" w:csb1="00000000"/>
  </w:font>
  <w:font w:name="楷体_GB2312">
    <w:altName w:val="楷体"/>
    <w:panose1 w:val="02010609030101010101"/>
    <w:charset w:val="86"/>
    <w:family w:val="modern"/>
    <w:pitch w:val="default"/>
    <w:sig w:usb0="00000000" w:usb1="00000000" w:usb2="00000010" w:usb3="00000000" w:csb0="00040000" w:csb1="00000000"/>
  </w:font>
  <w:font w:name="方正宋黑简体">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华文隶书">
    <w:altName w:val="微软雅黑"/>
    <w:panose1 w:val="02010800040101010101"/>
    <w:charset w:val="86"/>
    <w:family w:val="auto"/>
    <w:pitch w:val="default"/>
    <w:sig w:usb0="00000000" w:usb1="00000000" w:usb2="00000010" w:usb3="00000000" w:csb0="00040000" w:csb1="00000000"/>
  </w:font>
  <w:font w:name="MV Boli">
    <w:panose1 w:val="02000500030200090000"/>
    <w:charset w:val="00"/>
    <w:family w:val="auto"/>
    <w:pitch w:val="default"/>
    <w:sig w:usb0="00000003" w:usb1="00000000" w:usb2="00000100" w:usb3="00000000" w:csb0="00000001" w:csb1="00000000"/>
  </w:font>
  <w:font w:name="方正小标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Georgia">
    <w:panose1 w:val="02040502050405020303"/>
    <w:charset w:val="00"/>
    <w:family w:val="roman"/>
    <w:pitch w:val="default"/>
    <w:sig w:usb0="00000287" w:usb1="00000000"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10E3A83"/>
    <w:rsid w:val="06B86671"/>
    <w:rsid w:val="07533E9D"/>
    <w:rsid w:val="07ED2627"/>
    <w:rsid w:val="0AE47EBC"/>
    <w:rsid w:val="0C1B4C2C"/>
    <w:rsid w:val="0C245C9C"/>
    <w:rsid w:val="0EA86D90"/>
    <w:rsid w:val="102C0A0F"/>
    <w:rsid w:val="117201E8"/>
    <w:rsid w:val="119909E7"/>
    <w:rsid w:val="12DB5170"/>
    <w:rsid w:val="16C47058"/>
    <w:rsid w:val="17830759"/>
    <w:rsid w:val="1AE61066"/>
    <w:rsid w:val="1BDB6B4F"/>
    <w:rsid w:val="204E2E4D"/>
    <w:rsid w:val="224668AD"/>
    <w:rsid w:val="22A56461"/>
    <w:rsid w:val="23C55634"/>
    <w:rsid w:val="26E14A51"/>
    <w:rsid w:val="286315C3"/>
    <w:rsid w:val="28A97586"/>
    <w:rsid w:val="29F86657"/>
    <w:rsid w:val="2BB96F1F"/>
    <w:rsid w:val="2BE447B2"/>
    <w:rsid w:val="2EF53201"/>
    <w:rsid w:val="2EFC1D06"/>
    <w:rsid w:val="2FA40A26"/>
    <w:rsid w:val="31052386"/>
    <w:rsid w:val="32CF4094"/>
    <w:rsid w:val="339F1CCA"/>
    <w:rsid w:val="33A81B5C"/>
    <w:rsid w:val="3A13386D"/>
    <w:rsid w:val="3FC10002"/>
    <w:rsid w:val="40362E40"/>
    <w:rsid w:val="405C2FAB"/>
    <w:rsid w:val="4200142C"/>
    <w:rsid w:val="45351B7E"/>
    <w:rsid w:val="466E4269"/>
    <w:rsid w:val="467961A3"/>
    <w:rsid w:val="4D8F6D71"/>
    <w:rsid w:val="51FE4AD9"/>
    <w:rsid w:val="52963093"/>
    <w:rsid w:val="537A24F9"/>
    <w:rsid w:val="57A530DF"/>
    <w:rsid w:val="581919D7"/>
    <w:rsid w:val="590B752E"/>
    <w:rsid w:val="5A8A533A"/>
    <w:rsid w:val="5C3E6532"/>
    <w:rsid w:val="630A4728"/>
    <w:rsid w:val="68796044"/>
    <w:rsid w:val="69326AD6"/>
    <w:rsid w:val="6AEB4794"/>
    <w:rsid w:val="6B1F12DC"/>
    <w:rsid w:val="6E517661"/>
    <w:rsid w:val="712850BB"/>
    <w:rsid w:val="72552A18"/>
    <w:rsid w:val="7560229C"/>
    <w:rsid w:val="75E12EAE"/>
    <w:rsid w:val="76413CF9"/>
    <w:rsid w:val="7790026F"/>
    <w:rsid w:val="77997E4F"/>
    <w:rsid w:val="77C27E57"/>
    <w:rsid w:val="7A221B81"/>
    <w:rsid w:val="7C4F0886"/>
    <w:rsid w:val="7D650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2017-12-25T07:19:58Z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