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5765"/>
        <w:gridCol w:w="835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b/>
                <w:bCs/>
                <w:sz w:val="28"/>
                <w:szCs w:val="28"/>
                <w:lang w:val="en-US" w:eastAsia="zh-CN"/>
              </w:rPr>
              <w:t>电子科学与技术</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5765"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8352"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lang w:val="en-US" w:eastAsia="zh-CN"/>
              </w:rPr>
            </w:pPr>
            <w:r>
              <w:rPr>
                <w:rFonts w:hint="eastAsia" w:ascii="宋体" w:hAnsi="宋体" w:cs="宋体"/>
                <w:sz w:val="24"/>
                <w:lang w:val="en-US" w:eastAsia="zh-CN"/>
              </w:rPr>
              <w:t>1.</w:t>
            </w:r>
            <w:r>
              <w:rPr>
                <w:rFonts w:hint="eastAsia" w:ascii="宋体" w:hAnsi="宋体" w:eastAsia="宋体" w:cs="宋体"/>
                <w:b w:val="0"/>
                <w:bCs w:val="0"/>
                <w:sz w:val="24"/>
                <w:szCs w:val="24"/>
                <w:lang w:val="en-US" w:eastAsia="zh-CN"/>
              </w:rPr>
              <w:t>专业代码有误，应是080702，不是080606</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 w:val="24"/>
              </w:rPr>
            </w:pPr>
            <w:r>
              <w:rPr>
                <w:rFonts w:hint="eastAsia" w:ascii="宋体" w:hAnsi="宋体" w:cs="宋体"/>
                <w:sz w:val="24"/>
                <w:lang w:val="en-US" w:eastAsia="zh-CN"/>
              </w:rPr>
              <w:t>2</w:t>
            </w:r>
            <w:r>
              <w:rPr>
                <w:rFonts w:ascii="宋体" w:hAnsi="宋体" w:cs="宋体"/>
                <w:sz w:val="24"/>
              </w:rPr>
              <w:t>.</w:t>
            </w:r>
            <w:r>
              <w:rPr>
                <w:rFonts w:hint="eastAsia" w:ascii="宋体" w:hAnsi="宋体" w:eastAsia="宋体" w:cs="宋体"/>
                <w:b w:val="0"/>
                <w:bCs w:val="0"/>
                <w:sz w:val="24"/>
                <w:szCs w:val="24"/>
              </w:rPr>
              <w:t>专业培养目标</w:t>
            </w:r>
            <w:r>
              <w:rPr>
                <w:rFonts w:hint="eastAsia" w:ascii="宋体" w:hAnsi="宋体" w:cs="宋体"/>
                <w:b w:val="0"/>
                <w:bCs w:val="0"/>
                <w:sz w:val="24"/>
                <w:szCs w:val="24"/>
                <w:lang w:eastAsia="zh-CN"/>
              </w:rPr>
              <w:t>进一步</w:t>
            </w:r>
            <w:r>
              <w:rPr>
                <w:rFonts w:hint="eastAsia" w:ascii="宋体" w:hAnsi="宋体" w:eastAsia="宋体" w:cs="宋体"/>
                <w:b w:val="0"/>
                <w:bCs w:val="0"/>
                <w:sz w:val="24"/>
                <w:szCs w:val="24"/>
              </w:rPr>
              <w:t>凝练，如：在电子与信息行业（或领域）从事教学、科研开发和管理的高级工程技术人才</w:t>
            </w:r>
            <w:r>
              <w:rPr>
                <w:rFonts w:hint="eastAsia" w:ascii="宋体" w:hAnsi="宋体" w:eastAsia="宋体" w:cs="宋体"/>
                <w:b w:val="0"/>
                <w:bCs w:val="0"/>
                <w:sz w:val="24"/>
                <w:szCs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pStyle w:val="4"/>
              <w:keepNext w:val="0"/>
              <w:keepLines w:val="0"/>
              <w:pageBreakBefore w:val="0"/>
              <w:widowControl w:val="0"/>
              <w:numPr>
                <w:numId w:val="0"/>
              </w:numPr>
              <w:kinsoku/>
              <w:wordWrap/>
              <w:overflowPunct/>
              <w:topLinePunct w:val="0"/>
              <w:autoSpaceDE/>
              <w:autoSpaceDN/>
              <w:bidi w:val="0"/>
              <w:adjustRightInd/>
              <w:snapToGrid/>
              <w:spacing w:line="400" w:lineRule="exact"/>
              <w:ind w:leftChars="0" w:right="0" w:rightChars="0"/>
              <w:jc w:val="both"/>
              <w:textAlignment w:val="auto"/>
              <w:outlineLvl w:val="9"/>
              <w:rPr>
                <w:rFonts w:hint="eastAsia" w:ascii="宋体" w:hAnsi="宋体" w:cs="宋体"/>
                <w:sz w:val="24"/>
                <w:lang w:eastAsia="zh-CN"/>
              </w:rPr>
            </w:pPr>
            <w:r>
              <w:rPr>
                <w:rFonts w:hint="eastAsia" w:ascii="宋体" w:hAnsi="宋体" w:cs="宋体"/>
                <w:sz w:val="24"/>
                <w:lang w:val="en-US" w:eastAsia="zh-CN"/>
              </w:rPr>
              <w:t>3.建议引入</w:t>
            </w:r>
            <w:r>
              <w:rPr>
                <w:rFonts w:hint="eastAsia" w:ascii="宋体" w:hAnsi="宋体" w:cs="宋体"/>
                <w:sz w:val="24"/>
              </w:rPr>
              <w:t>专业认证标准</w:t>
            </w:r>
            <w:r>
              <w:rPr>
                <w:rFonts w:hint="eastAsia" w:ascii="宋体" w:hAnsi="宋体" w:cs="宋体"/>
                <w:sz w:val="24"/>
                <w:lang w:eastAsia="zh-CN"/>
              </w:rPr>
              <w:t>，优化整个的培养方案：</w:t>
            </w:r>
          </w:p>
          <w:p>
            <w:pPr>
              <w:pStyle w:val="4"/>
              <w:keepNext w:val="0"/>
              <w:keepLines w:val="0"/>
              <w:pageBreakBefore w:val="0"/>
              <w:widowControl w:val="0"/>
              <w:numPr>
                <w:numId w:val="0"/>
              </w:numPr>
              <w:kinsoku/>
              <w:wordWrap/>
              <w:overflowPunct/>
              <w:topLinePunct w:val="0"/>
              <w:autoSpaceDE/>
              <w:autoSpaceDN/>
              <w:bidi w:val="0"/>
              <w:adjustRightInd/>
              <w:snapToGrid/>
              <w:spacing w:line="400" w:lineRule="exact"/>
              <w:ind w:leftChars="0" w:right="0" w:rightChars="0"/>
              <w:jc w:val="both"/>
              <w:textAlignment w:val="auto"/>
              <w:outlineLvl w:val="9"/>
              <w:rPr>
                <w:rFonts w:hint="eastAsia" w:ascii="宋体" w:hAnsi="宋体" w:eastAsia="宋体" w:cs="宋体"/>
                <w:b w:val="0"/>
                <w:bCs w:val="0"/>
                <w:sz w:val="24"/>
                <w:szCs w:val="24"/>
              </w:rPr>
            </w:pPr>
            <w:r>
              <w:rPr>
                <w:rFonts w:hint="eastAsia" w:ascii="宋体" w:hAnsi="宋体" w:cs="宋体"/>
                <w:sz w:val="24"/>
                <w:lang w:eastAsia="zh-CN"/>
              </w:rPr>
              <w:t>（</w:t>
            </w:r>
            <w:r>
              <w:rPr>
                <w:rFonts w:hint="eastAsia" w:ascii="宋体" w:hAnsi="宋体" w:cs="宋体"/>
                <w:sz w:val="24"/>
                <w:lang w:val="en-US" w:eastAsia="zh-CN"/>
              </w:rPr>
              <w:t>1）</w:t>
            </w:r>
            <w:r>
              <w:rPr>
                <w:rFonts w:hint="eastAsia" w:ascii="宋体" w:hAnsi="宋体" w:eastAsia="宋体" w:cs="宋体"/>
                <w:b w:val="0"/>
                <w:bCs w:val="0"/>
                <w:sz w:val="24"/>
                <w:szCs w:val="24"/>
              </w:rPr>
              <w:t>毕业要求过于简单，不能涵盖国家工程教育通用标准中的12条基本要求</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建议</w:t>
            </w:r>
            <w:r>
              <w:rPr>
                <w:rFonts w:hint="eastAsia" w:ascii="宋体" w:hAnsi="宋体" w:eastAsia="宋体" w:cs="宋体"/>
                <w:b w:val="0"/>
                <w:bCs w:val="0"/>
                <w:sz w:val="24"/>
                <w:szCs w:val="24"/>
                <w:lang w:eastAsia="zh-CN"/>
              </w:rPr>
              <w:t>该专业按照</w:t>
            </w:r>
            <w:r>
              <w:rPr>
                <w:rFonts w:hint="eastAsia" w:ascii="宋体" w:hAnsi="宋体" w:eastAsia="宋体" w:cs="宋体"/>
                <w:b w:val="0"/>
                <w:bCs w:val="0"/>
                <w:sz w:val="24"/>
                <w:szCs w:val="24"/>
              </w:rPr>
              <w:t>“工程教育认证”的12条</w:t>
            </w:r>
            <w:r>
              <w:rPr>
                <w:rFonts w:hint="eastAsia" w:ascii="宋体" w:hAnsi="宋体" w:eastAsia="宋体" w:cs="宋体"/>
                <w:b w:val="0"/>
                <w:bCs w:val="0"/>
                <w:sz w:val="24"/>
                <w:szCs w:val="24"/>
                <w:lang w:eastAsia="zh-CN"/>
              </w:rPr>
              <w:t>通用标准</w:t>
            </w:r>
            <w:r>
              <w:rPr>
                <w:rFonts w:hint="eastAsia" w:ascii="宋体" w:hAnsi="宋体" w:eastAsia="宋体" w:cs="宋体"/>
                <w:b w:val="0"/>
                <w:bCs w:val="0"/>
                <w:sz w:val="24"/>
                <w:szCs w:val="24"/>
              </w:rPr>
              <w:t>重新修订毕业要求，以及培养目标（标准）、毕业要求与课程体系关系表即达成度的关系</w:t>
            </w:r>
            <w:r>
              <w:rPr>
                <w:rFonts w:hint="eastAsia" w:ascii="宋体" w:hAnsi="宋体" w:eastAsia="宋体" w:cs="宋体"/>
                <w:b w:val="0"/>
                <w:bCs w:val="0"/>
                <w:sz w:val="24"/>
                <w:szCs w:val="24"/>
                <w:lang w:eastAsia="zh-CN"/>
              </w:rPr>
              <w:t>。</w:t>
            </w:r>
          </w:p>
          <w:p>
            <w:pPr>
              <w:pStyle w:val="4"/>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b w:val="0"/>
                <w:bCs w:val="0"/>
                <w:sz w:val="24"/>
                <w:szCs w:val="24"/>
              </w:rPr>
            </w:pP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rPr>
              <w:t>培养目标（标准）、毕业要求与课程体系关系表中的毕业要求与指标点分解的关系比较乱，有些指标点分解不能涵盖对应的毕业要求内容。</w:t>
            </w:r>
          </w:p>
          <w:p>
            <w:pPr>
              <w:pStyle w:val="4"/>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ascii="宋体" w:hAnsi="宋体" w:cs="宋体"/>
                <w:sz w:val="24"/>
              </w:rPr>
            </w:pP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rPr>
              <w:t>培养目标（标准）、毕业要求与课程体系关系表中课程设置与教学活动一栏只是列出了部分教学计划中的课程，是否意味着还有许多开设的课程并不支撑毕业要求和培养目标？显然这是不合理的。</w:t>
            </w:r>
            <w:r>
              <w:rPr>
                <w:rFonts w:hint="eastAsia" w:ascii="Times New Roman" w:hAnsi="Times New Roman"/>
                <w:bCs/>
                <w:sz w:val="24"/>
                <w:lang w:val="en-US" w:eastAsia="zh-CN"/>
              </w:rPr>
              <w:t>应将培养方案中的每一门课程列入“关系表”，找到对应支撑的毕业要求和指标</w:t>
            </w:r>
            <w:bookmarkStart w:id="0" w:name="_GoBack"/>
            <w:bookmarkEnd w:id="0"/>
            <w:r>
              <w:rPr>
                <w:rFonts w:hint="eastAsia" w:ascii="Times New Roman" w:hAnsi="Times New Roman"/>
                <w:bCs/>
                <w:sz w:val="24"/>
                <w:lang w:val="en-US" w:eastAsia="zh-CN"/>
              </w:rPr>
              <w:t>点，明确每一门课程对培养目标和毕业要求的贡献度。</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hint="eastAsia" w:ascii="宋体" w:hAnsi="宋体" w:cs="宋体"/>
                <w:sz w:val="24"/>
                <w:lang w:val="en-US" w:eastAsia="zh-CN"/>
              </w:rPr>
              <w:t>3</w:t>
            </w:r>
            <w:r>
              <w:rPr>
                <w:rFonts w:ascii="宋体" w:hAnsi="宋体" w:cs="宋体"/>
                <w:sz w:val="24"/>
              </w:rPr>
              <w:t>.</w:t>
            </w:r>
            <w:r>
              <w:rPr>
                <w:rFonts w:hint="eastAsia" w:ascii="宋体" w:hAnsi="宋体" w:eastAsia="宋体" w:cs="宋体"/>
                <w:b w:val="0"/>
                <w:bCs w:val="0"/>
                <w:sz w:val="24"/>
                <w:szCs w:val="24"/>
              </w:rPr>
              <w:t>专业核心课程中电路分析、模拟电子技术基础、数字电子技术基础，这三门课程是</w:t>
            </w:r>
            <w:r>
              <w:rPr>
                <w:rFonts w:hint="eastAsia" w:ascii="宋体" w:hAnsi="宋体" w:cs="宋体"/>
                <w:b w:val="0"/>
                <w:bCs w:val="0"/>
                <w:sz w:val="24"/>
                <w:szCs w:val="24"/>
                <w:lang w:eastAsia="zh-CN"/>
              </w:rPr>
              <w:t>该</w:t>
            </w:r>
            <w:r>
              <w:rPr>
                <w:rFonts w:hint="eastAsia" w:ascii="宋体" w:hAnsi="宋体" w:eastAsia="宋体" w:cs="宋体"/>
                <w:b w:val="0"/>
                <w:bCs w:val="0"/>
                <w:sz w:val="24"/>
                <w:szCs w:val="24"/>
              </w:rPr>
              <w:t>专业的核心专业基础课程，模拟电子技术课程建议增加0.5-1学分，这是学生就业时电子企业关心课程之一</w:t>
            </w:r>
          </w:p>
        </w:tc>
        <w:tc>
          <w:tcPr>
            <w:tcW w:w="8352" w:type="dxa"/>
            <w:tcBorders>
              <w:top w:val="single" w:color="auto" w:sz="4" w:space="0"/>
              <w:left w:val="single" w:color="auto" w:sz="4" w:space="0"/>
              <w:bottom w:val="single" w:color="auto" w:sz="4" w:space="0"/>
              <w:right w:val="single" w:color="auto" w:sz="4" w:space="0"/>
            </w:tcBorders>
            <w:vAlign w:val="center"/>
          </w:tcPr>
          <w:p>
            <w:pPr>
              <w:pStyle w:val="4"/>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eastAsia" w:ascii="宋体" w:hAnsi="宋体" w:eastAsia="宋体" w:cs="宋体"/>
                <w:b w:val="0"/>
                <w:bCs w:val="0"/>
                <w:sz w:val="24"/>
                <w:szCs w:val="24"/>
                <w:lang w:eastAsia="zh-CN"/>
              </w:rPr>
            </w:pPr>
          </w:p>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cs="宋体"/>
                <w:sz w:val="24"/>
                <w:lang w:val="en-US" w:eastAsia="zh-CN"/>
              </w:rPr>
            </w:pP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rPr>
              <w:t>传感器原理与器件、光电检测与光电传感器这两门课教学内容有交叉，建议</w:t>
            </w:r>
            <w:r>
              <w:rPr>
                <w:rFonts w:hint="eastAsia" w:ascii="宋体" w:hAnsi="宋体" w:cs="宋体"/>
                <w:b w:val="0"/>
                <w:bCs w:val="0"/>
                <w:sz w:val="24"/>
                <w:szCs w:val="24"/>
                <w:lang w:eastAsia="zh-CN"/>
              </w:rPr>
              <w:t>合并</w:t>
            </w:r>
            <w:r>
              <w:rPr>
                <w:rFonts w:hint="eastAsia" w:ascii="宋体" w:hAnsi="宋体" w:eastAsia="宋体" w:cs="宋体"/>
                <w:b w:val="0"/>
                <w:bCs w:val="0"/>
                <w:sz w:val="24"/>
                <w:szCs w:val="24"/>
              </w:rPr>
              <w:t>调整</w:t>
            </w:r>
            <w:r>
              <w:rPr>
                <w:rFonts w:hint="eastAsia" w:ascii="宋体" w:hAnsi="宋体" w:cs="宋体"/>
                <w:b w:val="0"/>
                <w:bCs w:val="0"/>
                <w:sz w:val="24"/>
                <w:szCs w:val="24"/>
                <w:lang w:eastAsia="zh-CN"/>
              </w:rPr>
              <w:t>，或减少课程学时</w:t>
            </w:r>
            <w:r>
              <w:rPr>
                <w:rFonts w:hint="eastAsia" w:ascii="宋体" w:hAnsi="宋体" w:eastAsia="宋体" w:cs="宋体"/>
                <w:b w:val="0"/>
                <w:bCs w:val="0"/>
                <w:sz w:val="24"/>
                <w:szCs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cs="宋体"/>
                <w:sz w:val="24"/>
                <w:lang w:val="en-US" w:eastAsia="zh-CN"/>
              </w:rPr>
            </w:pPr>
            <w:r>
              <w:rPr>
                <w:rFonts w:hint="eastAsia" w:ascii="宋体" w:hAnsi="宋体" w:cs="宋体"/>
                <w:sz w:val="24"/>
                <w:lang w:val="en-US" w:eastAsia="zh-CN"/>
              </w:rPr>
              <w:t>5.</w:t>
            </w:r>
            <w:r>
              <w:rPr>
                <w:rFonts w:hint="eastAsia" w:ascii="宋体" w:hAnsi="宋体" w:eastAsia="宋体" w:cs="宋体"/>
                <w:b w:val="0"/>
                <w:bCs w:val="0"/>
                <w:sz w:val="24"/>
                <w:szCs w:val="24"/>
              </w:rPr>
              <w:t>只有模块3学习量子力学和电动力学，所以数学的“数学物理方法”建议减少学时</w:t>
            </w:r>
            <w:r>
              <w:rPr>
                <w:rFonts w:hint="eastAsia" w:ascii="宋体" w:hAnsi="宋体" w:eastAsia="宋体" w:cs="宋体"/>
                <w:b w:val="0"/>
                <w:bCs w:val="0"/>
                <w:sz w:val="24"/>
                <w:szCs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cs="宋体"/>
                <w:sz w:val="24"/>
                <w:lang w:val="en-US" w:eastAsia="zh-CN"/>
              </w:rPr>
            </w:pP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cs="宋体"/>
                <w:sz w:val="24"/>
                <w:lang w:val="en-US" w:eastAsia="zh-CN"/>
              </w:rPr>
            </w:pP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hint="eastAsia" w:ascii="宋体" w:hAnsi="宋体" w:cs="宋体"/>
                <w:sz w:val="24"/>
                <w:lang w:val="en-US" w:eastAsia="zh-CN"/>
              </w:rPr>
              <w:t>4</w:t>
            </w:r>
            <w:r>
              <w:rPr>
                <w:rFonts w:ascii="宋体" w:hAnsi="宋体" w:cs="宋体"/>
                <w:sz w:val="24"/>
              </w:rPr>
              <w:t>.</w:t>
            </w:r>
            <w:r>
              <w:rPr>
                <w:rFonts w:hint="eastAsia" w:ascii="宋体" w:hAnsi="宋体" w:cs="宋体"/>
                <w:sz w:val="24"/>
              </w:rPr>
              <w:t>非涉海涉水专业涉海特色课程的设置</w:t>
            </w:r>
            <w:r>
              <w:rPr>
                <w:rFonts w:hint="eastAsia" w:ascii="宋体" w:hAnsi="宋体" w:cs="宋体"/>
                <w:sz w:val="24"/>
                <w:lang w:eastAsia="zh-CN"/>
              </w:rPr>
              <w:t>情况</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cs="宋体"/>
                <w:sz w:val="24"/>
                <w:lang w:val="en-US" w:eastAsia="zh-CN"/>
              </w:rPr>
              <w:t>5.</w:t>
            </w:r>
            <w:r>
              <w:rPr>
                <w:rFonts w:hint="eastAsia" w:ascii="宋体" w:hAnsi="宋体" w:cs="宋体"/>
                <w:sz w:val="24"/>
              </w:rPr>
              <w:t>专业核心课程</w:t>
            </w:r>
            <w:r>
              <w:rPr>
                <w:rFonts w:hint="eastAsia" w:ascii="宋体" w:hAnsi="宋体" w:cs="宋体"/>
                <w:sz w:val="24"/>
                <w:lang w:eastAsia="zh-CN"/>
              </w:rPr>
              <w:t>学分符合学校要求（不超总学分</w:t>
            </w:r>
            <w:r>
              <w:rPr>
                <w:rFonts w:hint="eastAsia" w:ascii="宋体" w:hAnsi="宋体" w:cs="宋体"/>
                <w:sz w:val="24"/>
                <w:lang w:val="en-US" w:eastAsia="zh-CN"/>
              </w:rPr>
              <w:t>1/4)</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numPr>
                <w:numId w:val="0"/>
              </w:numPr>
              <w:spacing w:line="360" w:lineRule="exact"/>
              <w:rPr>
                <w:rFonts w:hint="eastAsia" w:ascii="宋体" w:hAnsi="宋体" w:cs="宋体"/>
                <w:sz w:val="24"/>
                <w:lang w:val="en-US" w:eastAsia="zh-CN"/>
              </w:rPr>
            </w:pPr>
            <w:r>
              <w:rPr>
                <w:rFonts w:hint="eastAsia" w:ascii="宋体" w:hAnsi="宋体" w:cs="宋体"/>
                <w:sz w:val="24"/>
                <w:lang w:val="en-US" w:eastAsia="zh-CN"/>
              </w:rPr>
              <w:t>6.</w:t>
            </w:r>
            <w:r>
              <w:rPr>
                <w:rFonts w:hint="eastAsia" w:ascii="宋体" w:hAnsi="宋体" w:cs="宋体"/>
                <w:sz w:val="24"/>
                <w:lang w:eastAsia="zh-CN"/>
              </w:rPr>
              <w:t>学科专业拓展课学分应达到学校要求的最低</w:t>
            </w:r>
            <w:r>
              <w:rPr>
                <w:rFonts w:hint="eastAsia" w:ascii="宋体" w:hAnsi="宋体" w:cs="宋体"/>
                <w:sz w:val="24"/>
                <w:lang w:val="en-US" w:eastAsia="zh-CN"/>
              </w:rPr>
              <w:t>10学分（且不包含专业方向和模块化课程）。</w:t>
            </w:r>
          </w:p>
          <w:p>
            <w:pPr>
              <w:numPr>
                <w:numId w:val="0"/>
              </w:numPr>
              <w:spacing w:line="360" w:lineRule="exact"/>
              <w:rPr>
                <w:rFonts w:hint="eastAsia" w:ascii="宋体" w:hAnsi="宋体" w:cs="宋体"/>
                <w:sz w:val="24"/>
                <w:lang w:val="en-US" w:eastAsia="zh-CN"/>
              </w:rPr>
            </w:pPr>
            <w:r>
              <w:rPr>
                <w:rFonts w:hint="eastAsia" w:ascii="宋体" w:hAnsi="宋体" w:eastAsia="宋体" w:cs="宋体"/>
                <w:b w:val="0"/>
                <w:bCs w:val="0"/>
                <w:sz w:val="24"/>
                <w:szCs w:val="24"/>
              </w:rPr>
              <w:t>学科专业拓展课程学分要求太少，一共只有6学分要求，其中光电必修2学分，传感必修2学分，真正给学生选修的要求只有2学分？就这2学分，还分了三个模块？（见附表四）。 这样的课程设置不利于学科交叉融合，也不能真正反映社会和行业需求新变化。</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60" w:lineRule="exact"/>
              <w:rPr>
                <w:rFonts w:hint="eastAsia" w:ascii="宋体" w:hAnsi="宋体" w:eastAsia="宋体" w:cs="宋体"/>
                <w:sz w:val="24"/>
                <w:szCs w:val="24"/>
                <w:lang w:val="en-US" w:eastAsia="zh-CN"/>
              </w:rPr>
            </w:pP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Times New Roman" w:hAnsi="Times New Roman" w:eastAsia="宋体"/>
                <w:bCs/>
                <w:sz w:val="24"/>
                <w:lang w:val="en-US" w:eastAsia="zh-CN"/>
              </w:rPr>
            </w:pP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Times New Roman" w:hAnsi="Times New Roman"/>
                <w:bCs/>
                <w:sz w:val="24"/>
                <w:lang w:val="en-US" w:eastAsia="zh-CN"/>
              </w:rPr>
            </w:pP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Times New Roman" w:hAnsi="Times New Roman"/>
                <w:bCs/>
                <w:sz w:val="24"/>
                <w:lang w:val="en-US" w:eastAsia="zh-CN"/>
              </w:rPr>
            </w:pP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Times New Roman" w:hAnsi="Times New Roman"/>
                <w:bCs/>
                <w:sz w:val="24"/>
                <w:lang w:val="en-US" w:eastAsia="zh-CN"/>
              </w:rPr>
            </w:pP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60" w:lineRule="exact"/>
              <w:rPr>
                <w:rFonts w:hint="eastAsia" w:ascii="Times New Roman" w:hAnsi="Times New Roman"/>
                <w:bCs/>
                <w:sz w:val="24"/>
                <w:lang w:val="en-US" w:eastAsia="zh-CN"/>
              </w:rPr>
            </w:pP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Times New Roman" w:hAnsi="Times New Roman"/>
                <w:bCs/>
                <w:sz w:val="24"/>
                <w:lang w:val="en-US" w:eastAsia="zh-CN"/>
              </w:rPr>
            </w:pP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Times New Roman" w:hAnsi="Times New Roman"/>
                <w:bCs/>
                <w:sz w:val="24"/>
                <w:lang w:val="en-US" w:eastAsia="zh-CN"/>
              </w:rPr>
            </w:pP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both"/>
              <w:textAlignment w:val="auto"/>
              <w:outlineLvl w:val="9"/>
              <w:rPr>
                <w:rFonts w:hint="eastAsia" w:ascii="Times New Roman" w:hAnsi="Times New Roman"/>
                <w:bCs/>
                <w:sz w:val="24"/>
                <w:lang w:val="en-US" w:eastAsia="zh-CN"/>
              </w:rPr>
            </w:pP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60" w:lineRule="exact"/>
              <w:rPr>
                <w:rFonts w:hint="eastAsia" w:ascii="Times New Roman" w:hAnsi="Times New Roman" w:eastAsia="宋体"/>
                <w:bCs/>
                <w:sz w:val="24"/>
                <w:lang w:val="en-US" w:eastAsia="zh-CN"/>
              </w:rPr>
            </w:pP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outlineLvl w:val="9"/>
              <w:rPr>
                <w:rFonts w:hint="eastAsia" w:ascii="宋体" w:hAnsi="宋体"/>
                <w:sz w:val="24"/>
              </w:rPr>
            </w:pP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54C2484"/>
    <w:rsid w:val="12DB5170"/>
    <w:rsid w:val="23E07F7E"/>
    <w:rsid w:val="28A97586"/>
    <w:rsid w:val="2A6B709C"/>
    <w:rsid w:val="30C91815"/>
    <w:rsid w:val="31FC1A07"/>
    <w:rsid w:val="3FC10002"/>
    <w:rsid w:val="44555F58"/>
    <w:rsid w:val="52155E00"/>
    <w:rsid w:val="6AB23A16"/>
    <w:rsid w:val="6B4E7118"/>
    <w:rsid w:val="7AB45B61"/>
    <w:rsid w:val="7BD935D2"/>
    <w:rsid w:val="7F213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_Style 2"/>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2017-12-23T06:43:35Z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