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法学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第四大部分“主干学科”只写了法学，建议列举主要的学科，如法学理论、宪法与行政法学、刑法学、民商法学、国际法学等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毕业要求、指标点、课程设置之间的内在逻辑关系有待进一步深思、斟酌。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(2)</w:t>
            </w:r>
            <w:r>
              <w:rPr>
                <w:rFonts w:hint="eastAsia" w:ascii="宋体" w:hAnsi="宋体"/>
                <w:sz w:val="24"/>
                <w:lang w:eastAsia="zh-CN"/>
              </w:rPr>
              <w:t>本专业“</w:t>
            </w:r>
            <w:r>
              <w:rPr>
                <w:rFonts w:hint="eastAsia" w:ascii="宋体" w:hAnsi="宋体"/>
                <w:sz w:val="24"/>
              </w:rPr>
              <w:t>关系表</w:t>
            </w:r>
            <w:r>
              <w:rPr>
                <w:rFonts w:hint="eastAsia" w:ascii="宋体" w:hAnsi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/>
                <w:sz w:val="24"/>
              </w:rPr>
              <w:t>中</w:t>
            </w:r>
            <w:r>
              <w:rPr>
                <w:rFonts w:hint="eastAsia" w:ascii="宋体" w:hAnsi="宋体"/>
                <w:sz w:val="24"/>
                <w:lang w:eastAsia="zh-CN"/>
              </w:rPr>
              <w:t>“毕业要求”要与“二、毕业要求”一致。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要将培养方案中每一门课程（含实践环节）列入关系表中，体现每一门课程对培养目标、毕业要求的贡献度，不能用笼统的课程类进行描述，如“2-1掌握多学科的基础理论和基本知识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”，列出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文学艺术类、行业道德与法律类、外语类、信息技术类等通识教育课程，这些是需要用附表中的具体课程来写明，跨学科基础课是有确定的课程（暂时无法确定的通识选修课除外）。类似情况要进一步梳理。（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系表中所列课程不能全面支撑指标点内涵，非常单薄。如“掌握法律专业理论研究的基本方法和前沿动态”，所列出的课程应该不能很好地支撑“前沿动态”指标点；“掌握法律专业的基础理论和基本知识”，应将能支撑的全部课程列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类似情况还有很多，需要再进一步梳理、检查。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值得注意的是，同一门课程可以支撑多个指标点和毕业要求。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学科专业拓展课在反映社会和行业需求的新变化方面，有所欠缺，一是课程门类偏少，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覆盖面不大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可能会造成学生选择受限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；二是有些课交叉重复，如立法学和地方立法学；三是有的课程名称还可商榷，如法庭模拟实习，建议改为：法庭审判模拟。建议进一步优化。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无论是专业核心课程还是专业拓展课程都没有实验学时，随着国家对应用型人才需求的不断扩大，应用型人才培养显得尤为重要。建议在有些课程中适当增加实验学时。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加强专业基础理论和国际化教育，为学生向更高层次发展奠定基础，更好地适应全球化对法律人才的国际化要求；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6.建议设置2-3门必修性质的涉海类课程，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充分利用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校海洋科学的学科优势，突出海洋大学法学的特点。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lang w:eastAsia="zh-CN"/>
              </w:rPr>
              <w:t>建议开设相关创新创业教育专业课程，直接支撑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学生</w:t>
            </w:r>
            <w:r>
              <w:rPr>
                <w:rFonts w:hint="eastAsia" w:ascii="宋体" w:hAnsi="宋体"/>
                <w:sz w:val="24"/>
                <w:lang w:eastAsia="zh-CN"/>
              </w:rPr>
              <w:t>创新能力的培养，实现创新创业教育与专业教育相结合。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8.学科专业拓展课学分应最低设置10学分，并适当增设一些课程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04732E8"/>
    <w:rsid w:val="010E3A83"/>
    <w:rsid w:val="03C509A5"/>
    <w:rsid w:val="06F0301C"/>
    <w:rsid w:val="07533E9D"/>
    <w:rsid w:val="07ED2627"/>
    <w:rsid w:val="0C1B4C2C"/>
    <w:rsid w:val="0C245C9C"/>
    <w:rsid w:val="0EA86D90"/>
    <w:rsid w:val="102C0A0F"/>
    <w:rsid w:val="117201E8"/>
    <w:rsid w:val="119909E7"/>
    <w:rsid w:val="12DB5170"/>
    <w:rsid w:val="16C47058"/>
    <w:rsid w:val="17830759"/>
    <w:rsid w:val="187E4FE5"/>
    <w:rsid w:val="1AE61066"/>
    <w:rsid w:val="1BDB6B4F"/>
    <w:rsid w:val="224668AD"/>
    <w:rsid w:val="23C55634"/>
    <w:rsid w:val="26E14A51"/>
    <w:rsid w:val="28A97586"/>
    <w:rsid w:val="2B1A659A"/>
    <w:rsid w:val="2BB96F1F"/>
    <w:rsid w:val="2BE447B2"/>
    <w:rsid w:val="2EF53201"/>
    <w:rsid w:val="2EFC1D06"/>
    <w:rsid w:val="2FA40A26"/>
    <w:rsid w:val="324A4D14"/>
    <w:rsid w:val="339F1CCA"/>
    <w:rsid w:val="33A81B5C"/>
    <w:rsid w:val="3A13386D"/>
    <w:rsid w:val="3FC10002"/>
    <w:rsid w:val="405C2FAB"/>
    <w:rsid w:val="4200142C"/>
    <w:rsid w:val="45351B7E"/>
    <w:rsid w:val="466E4269"/>
    <w:rsid w:val="467961A3"/>
    <w:rsid w:val="4D8F6D71"/>
    <w:rsid w:val="51594C1E"/>
    <w:rsid w:val="51FE4AD9"/>
    <w:rsid w:val="537A24F9"/>
    <w:rsid w:val="57A530DF"/>
    <w:rsid w:val="581919D7"/>
    <w:rsid w:val="5A8A533A"/>
    <w:rsid w:val="5BDB734C"/>
    <w:rsid w:val="5C3E6532"/>
    <w:rsid w:val="630A4728"/>
    <w:rsid w:val="68796044"/>
    <w:rsid w:val="6E517661"/>
    <w:rsid w:val="701476B7"/>
    <w:rsid w:val="712850BB"/>
    <w:rsid w:val="72552A18"/>
    <w:rsid w:val="75E12EAE"/>
    <w:rsid w:val="7790026F"/>
    <w:rsid w:val="77997E4F"/>
    <w:rsid w:val="77C27E57"/>
    <w:rsid w:val="7C4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2017-12-25T03:23:01Z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