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4117" w:type="dxa"/>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
      <w:tblGrid>
        <w:gridCol w:w="6317"/>
        <w:gridCol w:w="7800"/>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495" w:hRule="atLeast"/>
          <w:tblHeader/>
        </w:trPr>
        <w:tc>
          <w:tcPr>
            <w:tcW w:w="14117" w:type="dxa"/>
            <w:gridSpan w:val="2"/>
            <w:tcBorders>
              <w:top w:val="nil"/>
              <w:left w:val="nil"/>
              <w:bottom w:val="single" w:color="000000" w:sz="4" w:space="0"/>
              <w:right w:val="nil"/>
            </w:tcBorders>
            <w:vAlign w:val="center"/>
          </w:tcPr>
          <w:p>
            <w:r>
              <w:rPr>
                <w:rFonts w:hint="eastAsia"/>
              </w:rPr>
              <w:t>附件</w:t>
            </w:r>
            <w:r>
              <w:t>1</w:t>
            </w:r>
          </w:p>
          <w:p>
            <w:pPr>
              <w:spacing w:line="360" w:lineRule="exact"/>
              <w:jc w:val="center"/>
              <w:rPr>
                <w:rFonts w:ascii="Times New Roman" w:hAnsi="Times New Roman"/>
                <w:bCs/>
                <w:sz w:val="24"/>
              </w:rPr>
            </w:pPr>
            <w:r>
              <w:rPr>
                <w:rFonts w:hint="eastAsia" w:ascii="Times New Roman" w:hAnsi="Times New Roman"/>
                <w:b/>
                <w:bCs w:val="0"/>
                <w:sz w:val="28"/>
                <w:szCs w:val="28"/>
                <w:lang w:val="en-US" w:eastAsia="zh-CN"/>
              </w:rPr>
              <w:t>国际经济与贸易</w:t>
            </w:r>
            <w:r>
              <w:rPr>
                <w:rFonts w:hint="eastAsia" w:ascii="Times New Roman" w:hAnsi="Times New Roman"/>
                <w:bCs/>
                <w:sz w:val="24"/>
              </w:rPr>
              <w:t>专业</w:t>
            </w:r>
            <w:r>
              <w:rPr>
                <w:rFonts w:ascii="Times New Roman" w:hAnsi="Times New Roman"/>
                <w:bCs/>
                <w:sz w:val="24"/>
              </w:rPr>
              <w:t>2017</w:t>
            </w:r>
            <w:r>
              <w:rPr>
                <w:rFonts w:hint="eastAsia" w:ascii="Times New Roman" w:hAnsi="Times New Roman"/>
                <w:bCs/>
                <w:sz w:val="24"/>
              </w:rPr>
              <w:t>版</w:t>
            </w:r>
            <w:r>
              <w:rPr>
                <w:rFonts w:hint="eastAsia" w:ascii="Times New Roman" w:hAnsi="Times New Roman"/>
                <w:bCs/>
                <w:sz w:val="24"/>
                <w:lang w:eastAsia="zh-CN"/>
              </w:rPr>
              <w:t>学分制</w:t>
            </w:r>
            <w:r>
              <w:rPr>
                <w:rFonts w:hint="eastAsia" w:ascii="Times New Roman" w:hAnsi="Times New Roman"/>
                <w:bCs/>
                <w:sz w:val="24"/>
              </w:rPr>
              <w:t>培养方案专家评审意见及</w:t>
            </w:r>
            <w:r>
              <w:rPr>
                <w:rFonts w:hint="eastAsia" w:ascii="Times New Roman" w:hAnsi="Times New Roman"/>
                <w:bCs/>
                <w:sz w:val="24"/>
                <w:lang w:eastAsia="zh-CN"/>
              </w:rPr>
              <w:t>专业</w:t>
            </w:r>
            <w:r>
              <w:rPr>
                <w:rFonts w:hint="eastAsia" w:ascii="Times New Roman" w:hAnsi="Times New Roman"/>
                <w:bCs/>
                <w:sz w:val="24"/>
              </w:rPr>
              <w:t>修改完善自查情况表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391" w:hRule="atLeast"/>
          <w:tblHeader/>
        </w:trPr>
        <w:tc>
          <w:tcPr>
            <w:tcW w:w="6317" w:type="dxa"/>
            <w:tcBorders>
              <w:top w:val="single" w:color="000000" w:sz="4" w:space="0"/>
              <w:left w:val="single" w:color="000000" w:sz="4" w:space="0"/>
              <w:bottom w:val="single" w:color="auto" w:sz="4" w:space="0"/>
              <w:right w:val="single" w:color="auto" w:sz="4" w:space="0"/>
            </w:tcBorders>
          </w:tcPr>
          <w:p>
            <w:pPr>
              <w:spacing w:line="460" w:lineRule="exact"/>
              <w:jc w:val="center"/>
              <w:rPr>
                <w:rFonts w:ascii="Times New Roman" w:hAnsi="Times New Roman" w:eastAsia="黑体"/>
                <w:bCs/>
                <w:sz w:val="24"/>
              </w:rPr>
            </w:pPr>
            <w:r>
              <w:rPr>
                <w:rFonts w:hint="eastAsia" w:ascii="Times New Roman" w:hAnsi="Times New Roman" w:eastAsia="黑体"/>
                <w:bCs/>
                <w:sz w:val="24"/>
              </w:rPr>
              <w:t>评审意见</w:t>
            </w:r>
          </w:p>
        </w:tc>
        <w:tc>
          <w:tcPr>
            <w:tcW w:w="7800" w:type="dxa"/>
            <w:tcBorders>
              <w:top w:val="single" w:color="000000" w:sz="4" w:space="0"/>
              <w:left w:val="single" w:color="auto" w:sz="4" w:space="0"/>
              <w:bottom w:val="single" w:color="auto" w:sz="4" w:space="0"/>
              <w:right w:val="single" w:color="000000" w:sz="4" w:space="0"/>
            </w:tcBorders>
          </w:tcPr>
          <w:p>
            <w:pPr>
              <w:spacing w:line="460" w:lineRule="exact"/>
              <w:jc w:val="center"/>
              <w:rPr>
                <w:rFonts w:ascii="Times New Roman" w:hAnsi="Times New Roman" w:eastAsia="黑体"/>
                <w:bCs/>
                <w:sz w:val="24"/>
              </w:rPr>
            </w:pPr>
            <w:r>
              <w:rPr>
                <w:rFonts w:hint="eastAsia" w:ascii="Times New Roman" w:hAnsi="Times New Roman" w:eastAsia="黑体"/>
                <w:bCs/>
                <w:sz w:val="24"/>
              </w:rPr>
              <w:t>修改完善的具体措施</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63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cs="宋体"/>
                <w:b/>
                <w:bCs/>
                <w:sz w:val="24"/>
                <w:szCs w:val="24"/>
                <w:lang w:val="en-US" w:eastAsia="zh-CN"/>
              </w:rPr>
            </w:pPr>
            <w:r>
              <w:rPr>
                <w:rFonts w:hint="eastAsia" w:ascii="宋体" w:hAnsi="宋体" w:cs="宋体"/>
                <w:b/>
                <w:bCs/>
                <w:sz w:val="24"/>
                <w:szCs w:val="24"/>
                <w:lang w:val="en-US" w:eastAsia="zh-CN"/>
              </w:rPr>
              <w:t>1.培养目标需要凝练。</w:t>
            </w:r>
            <w:r>
              <w:rPr>
                <w:rFonts w:hint="eastAsia" w:ascii="宋体" w:hAnsi="宋体" w:eastAsia="宋体" w:cs="宋体"/>
                <w:b w:val="0"/>
                <w:bCs w:val="0"/>
                <w:sz w:val="24"/>
                <w:szCs w:val="24"/>
                <w:lang w:val="en-US" w:eastAsia="zh-CN"/>
              </w:rPr>
              <w:t>在人才培养目标中关于毕业生能胜任的工作方面，应该突出强调能胜任外贸和外资企业对外贸易方面的实际工作；毕业要求第2点：“系统地掌握</w:t>
            </w:r>
            <w:r>
              <w:rPr>
                <w:rFonts w:hint="eastAsia" w:ascii="宋体" w:hAnsi="宋体" w:eastAsia="宋体" w:cs="宋体"/>
                <w:b w:val="0"/>
                <w:bCs w:val="0"/>
                <w:color w:val="FF0000"/>
                <w:sz w:val="24"/>
                <w:szCs w:val="24"/>
                <w:lang w:val="en-US" w:eastAsia="zh-CN"/>
              </w:rPr>
              <w:t>贸易经济</w:t>
            </w:r>
            <w:r>
              <w:rPr>
                <w:rFonts w:hint="eastAsia" w:ascii="宋体" w:hAnsi="宋体" w:eastAsia="宋体" w:cs="宋体"/>
                <w:b w:val="0"/>
                <w:bCs w:val="0"/>
                <w:sz w:val="24"/>
                <w:szCs w:val="24"/>
                <w:lang w:val="en-US" w:eastAsia="zh-CN"/>
              </w:rPr>
              <w:t>基本理论和现代管理原理、方法和手段。。。。，上述红字所示：“贸易经济”用词不准确，应该改为“国际贸易”一词。</w:t>
            </w:r>
          </w:p>
        </w:tc>
        <w:tc>
          <w:tcPr>
            <w:tcW w:w="7800"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eastAsia="宋体" w:cs="宋体"/>
                <w:b w:val="0"/>
                <w:bCs w:val="0"/>
                <w:sz w:val="24"/>
                <w:szCs w:val="24"/>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63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ascii="宋体" w:hAnsi="宋体" w:cs="宋体"/>
                <w:sz w:val="24"/>
              </w:rPr>
            </w:pPr>
            <w:r>
              <w:rPr>
                <w:rFonts w:hint="eastAsia" w:ascii="宋体" w:hAnsi="宋体" w:cs="宋体"/>
                <w:b/>
                <w:bCs/>
                <w:sz w:val="24"/>
                <w:szCs w:val="24"/>
                <w:lang w:val="en-US" w:eastAsia="zh-CN"/>
              </w:rPr>
              <w:t>2.</w:t>
            </w:r>
            <w:r>
              <w:rPr>
                <w:rFonts w:hint="eastAsia" w:ascii="宋体" w:hAnsi="宋体" w:eastAsia="宋体" w:cs="宋体"/>
                <w:b/>
                <w:bCs/>
                <w:sz w:val="24"/>
                <w:szCs w:val="24"/>
                <w:lang w:val="en-US" w:eastAsia="zh-CN"/>
              </w:rPr>
              <w:t>“</w:t>
            </w:r>
            <w:r>
              <w:rPr>
                <w:rFonts w:hint="eastAsia"/>
                <w:b/>
                <w:bCs/>
                <w:color w:val="000000"/>
                <w:kern w:val="2"/>
                <w:sz w:val="24"/>
                <w:szCs w:val="24"/>
              </w:rPr>
              <w:t>培养目标（标准）、毕业要求与课程体系关系表</w:t>
            </w:r>
            <w:r>
              <w:rPr>
                <w:rFonts w:hint="eastAsia"/>
                <w:b/>
                <w:bCs/>
                <w:color w:val="000000"/>
                <w:kern w:val="2"/>
                <w:sz w:val="24"/>
                <w:szCs w:val="24"/>
                <w:lang w:eastAsia="zh-CN"/>
              </w:rPr>
              <w:t>”需要完善。</w:t>
            </w:r>
            <w:r>
              <w:rPr>
                <w:rFonts w:hint="eastAsia"/>
                <w:b w:val="0"/>
                <w:bCs w:val="0"/>
                <w:color w:val="000000"/>
                <w:kern w:val="2"/>
                <w:sz w:val="24"/>
                <w:szCs w:val="24"/>
                <w:lang w:eastAsia="zh-CN"/>
              </w:rPr>
              <w:t>（</w:t>
            </w:r>
            <w:r>
              <w:rPr>
                <w:rFonts w:hint="eastAsia"/>
                <w:b w:val="0"/>
                <w:bCs w:val="0"/>
                <w:color w:val="000000"/>
                <w:kern w:val="2"/>
                <w:sz w:val="24"/>
                <w:szCs w:val="24"/>
                <w:lang w:val="en-US" w:eastAsia="zh-CN"/>
              </w:rPr>
              <w:t>1）</w:t>
            </w:r>
            <w:r>
              <w:rPr>
                <w:rFonts w:hint="eastAsia" w:ascii="宋体" w:hAnsi="宋体" w:eastAsia="宋体" w:cs="宋体"/>
                <w:b w:val="0"/>
                <w:bCs w:val="0"/>
                <w:color w:val="000000"/>
                <w:kern w:val="2"/>
                <w:sz w:val="24"/>
                <w:szCs w:val="24"/>
                <w:lang w:val="en-US" w:eastAsia="zh-CN"/>
              </w:rPr>
              <w:t>“三、关系表”中的所列“毕业要求”要与“二、毕业要求”相同；</w:t>
            </w:r>
            <w:r>
              <w:rPr>
                <w:rFonts w:hint="eastAsia" w:ascii="宋体" w:hAnsi="宋体" w:eastAsia="宋体" w:cs="宋体"/>
                <w:b w:val="0"/>
                <w:bCs w:val="0"/>
                <w:color w:val="000000"/>
                <w:kern w:val="2"/>
                <w:sz w:val="24"/>
                <w:szCs w:val="24"/>
                <w:lang w:eastAsia="zh-CN"/>
              </w:rPr>
              <w:t>（</w:t>
            </w:r>
            <w:r>
              <w:rPr>
                <w:rFonts w:hint="eastAsia" w:ascii="宋体" w:hAnsi="宋体" w:eastAsia="宋体" w:cs="宋体"/>
                <w:b w:val="0"/>
                <w:bCs w:val="0"/>
                <w:color w:val="000000"/>
                <w:kern w:val="2"/>
                <w:sz w:val="24"/>
                <w:szCs w:val="24"/>
                <w:lang w:val="en-US" w:eastAsia="zh-CN"/>
              </w:rPr>
              <w:t>2）</w:t>
            </w:r>
            <w:r>
              <w:rPr>
                <w:rFonts w:hint="eastAsia" w:ascii="宋体" w:hAnsi="宋体" w:eastAsia="宋体" w:cs="宋体"/>
                <w:sz w:val="24"/>
                <w:szCs w:val="24"/>
              </w:rPr>
              <w:t>毕业要求</w:t>
            </w:r>
            <w:r>
              <w:rPr>
                <w:rFonts w:hint="eastAsia" w:ascii="宋体" w:hAnsi="宋体" w:eastAsia="宋体" w:cs="宋体"/>
                <w:sz w:val="24"/>
                <w:szCs w:val="24"/>
                <w:lang w:eastAsia="zh-CN"/>
              </w:rPr>
              <w:t>要</w:t>
            </w:r>
            <w:r>
              <w:rPr>
                <w:rFonts w:hint="eastAsia" w:ascii="宋体" w:hAnsi="宋体" w:eastAsia="宋体" w:cs="宋体"/>
                <w:sz w:val="24"/>
                <w:szCs w:val="24"/>
              </w:rPr>
              <w:t>充分体现专业核心内容</w:t>
            </w:r>
            <w:r>
              <w:rPr>
                <w:rFonts w:hint="eastAsia" w:ascii="宋体" w:hAnsi="宋体" w:eastAsia="宋体" w:cs="宋体"/>
                <w:sz w:val="24"/>
                <w:szCs w:val="24"/>
                <w:lang w:eastAsia="zh-CN"/>
              </w:rPr>
              <w:t>，结合专业实际，减少一般性的描述。注意</w:t>
            </w:r>
            <w:r>
              <w:rPr>
                <w:rFonts w:hint="eastAsia" w:ascii="宋体" w:hAnsi="宋体" w:eastAsia="宋体" w:cs="宋体"/>
                <w:sz w:val="24"/>
                <w:szCs w:val="24"/>
              </w:rPr>
              <w:t>逻辑性和递进性</w:t>
            </w:r>
            <w:r>
              <w:rPr>
                <w:rFonts w:hint="eastAsia" w:ascii="宋体" w:hAnsi="宋体" w:eastAsia="宋体" w:cs="宋体"/>
                <w:sz w:val="24"/>
                <w:szCs w:val="24"/>
                <w:lang w:eastAsia="zh-CN"/>
              </w:rPr>
              <w:t>，避免毕业要求、指标点之间的重复。避免</w:t>
            </w:r>
            <w:r>
              <w:rPr>
                <w:rFonts w:hint="eastAsia" w:ascii="宋体" w:hAnsi="宋体" w:eastAsia="宋体" w:cs="宋体"/>
                <w:sz w:val="24"/>
                <w:szCs w:val="24"/>
              </w:rPr>
              <w:t>毕业要求</w:t>
            </w:r>
            <w:r>
              <w:rPr>
                <w:rFonts w:hint="eastAsia" w:ascii="宋体" w:hAnsi="宋体" w:eastAsia="宋体" w:cs="宋体"/>
                <w:sz w:val="24"/>
                <w:szCs w:val="24"/>
                <w:lang w:eastAsia="zh-CN"/>
              </w:rPr>
              <w:t>与</w:t>
            </w:r>
            <w:r>
              <w:rPr>
                <w:rFonts w:hint="eastAsia" w:ascii="宋体" w:hAnsi="宋体" w:eastAsia="宋体" w:cs="宋体"/>
                <w:sz w:val="24"/>
                <w:szCs w:val="24"/>
              </w:rPr>
              <w:t>课程设置</w:t>
            </w:r>
            <w:r>
              <w:rPr>
                <w:rFonts w:hint="eastAsia" w:ascii="宋体" w:hAnsi="宋体" w:eastAsia="宋体" w:cs="宋体"/>
                <w:sz w:val="24"/>
                <w:szCs w:val="24"/>
                <w:lang w:eastAsia="zh-CN"/>
              </w:rPr>
              <w:t>之间的</w:t>
            </w:r>
            <w:r>
              <w:rPr>
                <w:rFonts w:hint="eastAsia" w:ascii="宋体" w:hAnsi="宋体" w:eastAsia="宋体" w:cs="宋体"/>
                <w:sz w:val="24"/>
                <w:szCs w:val="24"/>
              </w:rPr>
              <w:t>剥离。</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b w:val="0"/>
                <w:bCs/>
                <w:color w:val="000000"/>
                <w:sz w:val="24"/>
                <w:szCs w:val="24"/>
                <w:lang w:eastAsia="zh-CN"/>
              </w:rPr>
              <w:t>要将培养方案中每一门课程（含实践环节）列入关系表中，体现每一门课程对培养目标、毕业要求的贡献度，同一门课程可以支撑多个指标点。</w:t>
            </w:r>
          </w:p>
        </w:tc>
        <w:tc>
          <w:tcPr>
            <w:tcW w:w="7800"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63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tabs>
                <w:tab w:val="left" w:pos="747"/>
              </w:tabs>
              <w:kinsoku/>
              <w:wordWrap/>
              <w:overflowPunct/>
              <w:topLinePunct w:val="0"/>
              <w:autoSpaceDE/>
              <w:autoSpaceDN/>
              <w:bidi w:val="0"/>
              <w:adjustRightInd w:val="0"/>
              <w:snapToGrid w:val="0"/>
              <w:spacing w:line="440" w:lineRule="exact"/>
              <w:ind w:right="0" w:rightChars="0"/>
              <w:jc w:val="both"/>
              <w:textAlignment w:val="auto"/>
              <w:outlineLvl w:val="9"/>
              <w:rPr>
                <w:rFonts w:hint="eastAsia" w:ascii="宋体" w:hAnsi="宋体" w:eastAsia="宋体" w:cs="宋体"/>
                <w:sz w:val="24"/>
                <w:lang w:val="en-US" w:eastAsia="zh-CN"/>
              </w:rPr>
            </w:pPr>
            <w:r>
              <w:rPr>
                <w:rFonts w:hint="eastAsia" w:ascii="宋体" w:hAnsi="宋体" w:cs="宋体"/>
                <w:sz w:val="24"/>
                <w:lang w:val="en-US" w:eastAsia="zh-CN"/>
              </w:rPr>
              <w:t>3.</w:t>
            </w:r>
            <w:r>
              <w:rPr>
                <w:rFonts w:hint="eastAsia" w:ascii="宋体" w:hAnsi="宋体" w:eastAsia="宋体" w:cs="宋体"/>
                <w:b w:val="0"/>
                <w:bCs w:val="0"/>
                <w:sz w:val="24"/>
                <w:szCs w:val="24"/>
                <w:lang w:val="en-US" w:eastAsia="zh-CN"/>
              </w:rPr>
              <w:t>在跨学科基础课中，建议再开设一门“法学概论”课程，或者将“海洋法概论”调整为“法学与海洋法概论”，并适当增加此门课程的学时和学分。</w:t>
            </w:r>
          </w:p>
        </w:tc>
        <w:tc>
          <w:tcPr>
            <w:tcW w:w="7800"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6317" w:type="dxa"/>
            <w:tcBorders>
              <w:top w:val="single" w:color="auto" w:sz="4" w:space="0"/>
              <w:left w:val="single" w:color="auto" w:sz="4" w:space="0"/>
              <w:bottom w:val="single" w:color="auto" w:sz="4" w:space="0"/>
              <w:right w:val="single" w:color="auto" w:sz="4" w:space="0"/>
            </w:tcBorders>
            <w:vAlign w:val="center"/>
          </w:tcPr>
          <w:p>
            <w:pPr>
              <w:spacing w:line="440" w:lineRule="exact"/>
              <w:rPr>
                <w:rFonts w:hint="eastAsia" w:ascii="宋体" w:hAnsi="宋体" w:eastAsia="宋体" w:cs="宋体"/>
                <w:sz w:val="24"/>
                <w:lang w:val="en-US" w:eastAsia="zh-CN"/>
              </w:rPr>
            </w:pPr>
            <w:r>
              <w:rPr>
                <w:rFonts w:hint="eastAsia" w:ascii="宋体" w:hAnsi="宋体" w:cs="宋体"/>
                <w:b/>
                <w:bCs/>
                <w:sz w:val="24"/>
                <w:lang w:val="en-US" w:eastAsia="zh-CN"/>
              </w:rPr>
              <w:t>4.</w:t>
            </w:r>
            <w:r>
              <w:rPr>
                <w:rFonts w:hint="eastAsia" w:ascii="宋体" w:hAnsi="宋体" w:eastAsia="宋体" w:cs="宋体"/>
                <w:b/>
                <w:bCs/>
                <w:sz w:val="24"/>
                <w:szCs w:val="24"/>
                <w:highlight w:val="none"/>
                <w:lang w:val="en-US" w:eastAsia="zh-CN"/>
              </w:rPr>
              <w:t>专业</w:t>
            </w:r>
            <w:r>
              <w:rPr>
                <w:rFonts w:hint="eastAsia" w:ascii="宋体" w:hAnsi="宋体" w:cs="宋体"/>
                <w:b/>
                <w:bCs/>
                <w:sz w:val="24"/>
                <w:szCs w:val="24"/>
                <w:highlight w:val="none"/>
                <w:lang w:val="en-US" w:eastAsia="zh-CN"/>
              </w:rPr>
              <w:t>拓展课</w:t>
            </w:r>
            <w:r>
              <w:rPr>
                <w:rFonts w:hint="eastAsia" w:ascii="宋体" w:hAnsi="宋体" w:eastAsia="宋体" w:cs="宋体"/>
                <w:b/>
                <w:bCs/>
                <w:sz w:val="24"/>
                <w:szCs w:val="24"/>
                <w:highlight w:val="none"/>
              </w:rPr>
              <w:t>选修学分偏少</w:t>
            </w:r>
            <w:r>
              <w:rPr>
                <w:rFonts w:hint="eastAsia" w:ascii="宋体" w:hAnsi="宋体" w:cs="宋体"/>
                <w:b/>
                <w:bCs/>
                <w:sz w:val="24"/>
                <w:szCs w:val="24"/>
                <w:highlight w:val="none"/>
                <w:lang w:eastAsia="zh-CN"/>
              </w:rPr>
              <w:t>，至少设置</w:t>
            </w:r>
            <w:r>
              <w:rPr>
                <w:rFonts w:hint="eastAsia" w:ascii="宋体" w:hAnsi="宋体" w:cs="宋体"/>
                <w:b/>
                <w:bCs/>
                <w:sz w:val="24"/>
                <w:szCs w:val="24"/>
                <w:highlight w:val="none"/>
                <w:lang w:val="en-US" w:eastAsia="zh-CN"/>
              </w:rPr>
              <w:t>10学分任意选修</w:t>
            </w:r>
            <w:r>
              <w:rPr>
                <w:rFonts w:hint="eastAsia" w:ascii="宋体" w:hAnsi="宋体" w:eastAsia="宋体" w:cs="宋体"/>
                <w:b/>
                <w:bCs/>
                <w:sz w:val="24"/>
                <w:szCs w:val="24"/>
                <w:highlight w:val="none"/>
              </w:rPr>
              <w:t>。</w:t>
            </w:r>
            <w:r>
              <w:rPr>
                <w:rFonts w:hint="eastAsia" w:ascii="宋体" w:hAnsi="宋体" w:eastAsia="宋体" w:cs="宋体"/>
                <w:b w:val="0"/>
                <w:bCs w:val="0"/>
                <w:sz w:val="24"/>
                <w:szCs w:val="24"/>
                <w:highlight w:val="none"/>
              </w:rPr>
              <w:t>专业选修课包含在学科专业拓展课的16个学分内，该拓展课有10个学分属于必选和限选，实际上只剩下6个学分由学生任选</w:t>
            </w:r>
            <w:r>
              <w:rPr>
                <w:rFonts w:hint="eastAsia" w:ascii="宋体" w:hAnsi="宋体" w:eastAsia="宋体" w:cs="宋体"/>
                <w:b w:val="0"/>
                <w:bCs w:val="0"/>
                <w:sz w:val="24"/>
                <w:szCs w:val="24"/>
                <w:highlight w:val="none"/>
                <w:lang w:eastAsia="zh-CN"/>
              </w:rPr>
              <w:t>，学生选课空间非常小，不符合学校学分制改革的精神。</w:t>
            </w:r>
            <w:r>
              <w:rPr>
                <w:rFonts w:hint="eastAsia" w:ascii="宋体" w:hAnsi="宋体" w:eastAsia="宋体" w:cs="宋体"/>
                <w:b w:val="0"/>
                <w:bCs w:val="0"/>
                <w:sz w:val="24"/>
                <w:szCs w:val="24"/>
                <w:highlight w:val="none"/>
              </w:rPr>
              <w:t>当前就业环境变化迅速，学生对个人职业生涯的设计也渐趋多样化，在选修课程设置上，保留更多的</w:t>
            </w:r>
            <w:r>
              <w:rPr>
                <w:rFonts w:hint="eastAsia" w:ascii="宋体" w:hAnsi="宋体" w:cs="宋体"/>
                <w:b w:val="0"/>
                <w:bCs w:val="0"/>
                <w:sz w:val="24"/>
                <w:szCs w:val="24"/>
                <w:highlight w:val="none"/>
                <w:lang w:eastAsia="zh-CN"/>
              </w:rPr>
              <w:t>选择</w:t>
            </w:r>
            <w:r>
              <w:rPr>
                <w:rFonts w:hint="eastAsia" w:ascii="宋体" w:hAnsi="宋体" w:eastAsia="宋体" w:cs="宋体"/>
                <w:b w:val="0"/>
                <w:bCs w:val="0"/>
                <w:sz w:val="24"/>
                <w:szCs w:val="24"/>
                <w:highlight w:val="none"/>
              </w:rPr>
              <w:t>空间，对学生个性化发展是必要的。</w:t>
            </w:r>
          </w:p>
        </w:tc>
        <w:tc>
          <w:tcPr>
            <w:tcW w:w="7800"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63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spacing w:line="440" w:lineRule="exact"/>
              <w:ind w:right="0" w:rightChars="0"/>
              <w:jc w:val="both"/>
              <w:textAlignment w:val="auto"/>
              <w:rPr>
                <w:rFonts w:hint="eastAsia" w:ascii="宋体" w:hAnsi="宋体" w:eastAsia="宋体" w:cs="宋体"/>
                <w:b w:val="0"/>
                <w:bCs w:val="0"/>
                <w:sz w:val="24"/>
                <w:szCs w:val="24"/>
              </w:rPr>
            </w:pPr>
            <w:r>
              <w:rPr>
                <w:rFonts w:hint="eastAsia" w:ascii="宋体" w:hAnsi="宋体" w:cs="宋体"/>
                <w:b/>
                <w:bCs/>
                <w:sz w:val="24"/>
                <w:lang w:val="en-US" w:eastAsia="zh-CN"/>
              </w:rPr>
              <w:t>5.</w:t>
            </w:r>
            <w:r>
              <w:rPr>
                <w:rFonts w:hint="eastAsia" w:ascii="宋体" w:hAnsi="宋体" w:eastAsia="宋体" w:cs="宋体"/>
                <w:b/>
                <w:bCs/>
                <w:sz w:val="24"/>
                <w:szCs w:val="24"/>
                <w:highlight w:val="none"/>
              </w:rPr>
              <w:t>方</w:t>
            </w:r>
            <w:r>
              <w:rPr>
                <w:rFonts w:hint="eastAsia" w:ascii="宋体" w:hAnsi="宋体" w:eastAsia="宋体" w:cs="宋体"/>
                <w:b/>
                <w:bCs/>
                <w:sz w:val="24"/>
                <w:szCs w:val="24"/>
              </w:rPr>
              <w:t>案中没有知识群组或模块方面的设计</w:t>
            </w:r>
            <w:r>
              <w:rPr>
                <w:rFonts w:hint="eastAsia" w:ascii="宋体" w:hAnsi="宋体" w:eastAsia="宋体" w:cs="宋体"/>
                <w:b w:val="0"/>
                <w:bCs w:val="0"/>
                <w:sz w:val="24"/>
                <w:szCs w:val="24"/>
              </w:rPr>
              <w:t>。专业发展中的某种技能，往往是由一组课程来实现的，课程群组设计能够对学生必备技能进行强化训练。一般来说国际经济与贸易专业涉及的知识群组由经济学及国际经济学/国际商务及管理/国际贸易及金融等模块构成，知识群组的横向设计要根据对专业发展的重要程度进行的纵向分类要更科学一些。 建议：</w:t>
            </w:r>
          </w:p>
          <w:p>
            <w:pPr>
              <w:keepNext w:val="0"/>
              <w:keepLines w:val="0"/>
              <w:pageBreakBefore w:val="0"/>
              <w:widowControl w:val="0"/>
              <w:numPr>
                <w:ilvl w:val="0"/>
                <w:numId w:val="0"/>
              </w:numPr>
              <w:kinsoku/>
              <w:wordWrap/>
              <w:overflowPunct/>
              <w:topLinePunct w:val="0"/>
              <w:autoSpaceDE/>
              <w:autoSpaceDN/>
              <w:bidi w:val="0"/>
              <w:spacing w:line="440" w:lineRule="exact"/>
              <w:ind w:right="0" w:rightChars="0"/>
              <w:jc w:val="both"/>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专业课程按照必修课和选修课分类。尽量减少专业必修课的学分比重，增加选修课的学分比重，给学生更大的选择余地。</w:t>
            </w:r>
          </w:p>
          <w:p>
            <w:pPr>
              <w:keepNext w:val="0"/>
              <w:keepLines w:val="0"/>
              <w:pageBreakBefore w:val="0"/>
              <w:widowControl w:val="0"/>
              <w:numPr>
                <w:ilvl w:val="0"/>
                <w:numId w:val="0"/>
              </w:numPr>
              <w:kinsoku/>
              <w:wordWrap/>
              <w:overflowPunct/>
              <w:topLinePunct w:val="0"/>
              <w:autoSpaceDE/>
              <w:autoSpaceDN/>
              <w:bidi w:val="0"/>
              <w:spacing w:line="440" w:lineRule="exact"/>
              <w:ind w:right="0" w:rightChars="0"/>
              <w:jc w:val="both"/>
              <w:textAlignment w:val="auto"/>
              <w:rPr>
                <w:rFonts w:hint="eastAsia" w:ascii="宋体" w:hAnsi="宋体" w:eastAsia="宋体" w:cs="宋体"/>
                <w:sz w:val="24"/>
                <w:lang w:val="en-US" w:eastAsia="zh-CN"/>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2）选修课程可以分成若干模块，并对学生对每一个模块的最低选修学分做出规定。</w:t>
            </w:r>
            <w:bookmarkStart w:id="0" w:name="_GoBack"/>
            <w:bookmarkEnd w:id="0"/>
          </w:p>
        </w:tc>
        <w:tc>
          <w:tcPr>
            <w:tcW w:w="7800"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63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spacing w:line="440" w:lineRule="exact"/>
              <w:ind w:right="0" w:rightChars="0"/>
              <w:jc w:val="both"/>
              <w:textAlignment w:val="auto"/>
              <w:rPr>
                <w:rFonts w:ascii="宋体" w:hAnsi="宋体" w:cs="宋体"/>
                <w:sz w:val="24"/>
              </w:rPr>
            </w:pPr>
            <w:r>
              <w:rPr>
                <w:rFonts w:hint="eastAsia" w:ascii="宋体" w:hAnsi="宋体" w:cs="宋体"/>
                <w:b w:val="0"/>
                <w:bCs w:val="0"/>
                <w:sz w:val="24"/>
                <w:szCs w:val="24"/>
                <w:lang w:val="en-US" w:eastAsia="zh-CN"/>
              </w:rPr>
              <w:t>6.</w:t>
            </w:r>
            <w:r>
              <w:rPr>
                <w:rFonts w:hint="eastAsia" w:ascii="宋体" w:hAnsi="宋体" w:eastAsia="宋体" w:cs="宋体"/>
                <w:b w:val="0"/>
                <w:bCs w:val="0"/>
                <w:sz w:val="24"/>
                <w:szCs w:val="24"/>
                <w:lang w:val="en-US" w:eastAsia="zh-CN"/>
              </w:rPr>
              <w:t>专业</w:t>
            </w:r>
            <w:r>
              <w:rPr>
                <w:rFonts w:hint="eastAsia" w:ascii="宋体" w:hAnsi="宋体" w:eastAsia="宋体" w:cs="宋体"/>
                <w:b w:val="0"/>
                <w:bCs w:val="0"/>
                <w:sz w:val="24"/>
                <w:szCs w:val="24"/>
              </w:rPr>
              <w:t>课程设置缺乏弹性，如何</w:t>
            </w:r>
            <w:r>
              <w:rPr>
                <w:rFonts w:hint="eastAsia" w:ascii="宋体" w:hAnsi="宋体" w:eastAsia="宋体" w:cs="宋体"/>
                <w:b w:val="0"/>
                <w:bCs w:val="0"/>
                <w:sz w:val="24"/>
                <w:szCs w:val="24"/>
                <w:lang w:eastAsia="zh-CN"/>
              </w:rPr>
              <w:t>将</w:t>
            </w:r>
            <w:r>
              <w:rPr>
                <w:rFonts w:hint="eastAsia" w:ascii="宋体" w:hAnsi="宋体" w:eastAsia="宋体" w:cs="宋体"/>
                <w:b w:val="0"/>
                <w:bCs w:val="0"/>
                <w:sz w:val="24"/>
                <w:szCs w:val="24"/>
              </w:rPr>
              <w:t>专业发展中的最新成就纳入课程体系，以及一些学科前沿知识如何穿插到课堂体系中，可以设计一些专题类课程</w:t>
            </w:r>
            <w:r>
              <w:rPr>
                <w:rFonts w:hint="eastAsia" w:ascii="宋体" w:hAnsi="宋体" w:eastAsia="宋体" w:cs="宋体"/>
                <w:b w:val="0"/>
                <w:bCs w:val="0"/>
                <w:sz w:val="24"/>
                <w:szCs w:val="24"/>
                <w:lang w:eastAsia="zh-CN"/>
              </w:rPr>
              <w:t>，请在方案中予以明确</w:t>
            </w:r>
            <w:r>
              <w:rPr>
                <w:rFonts w:hint="eastAsia" w:ascii="宋体" w:hAnsi="宋体" w:eastAsia="宋体" w:cs="宋体"/>
                <w:b w:val="0"/>
                <w:bCs w:val="0"/>
                <w:sz w:val="24"/>
                <w:szCs w:val="24"/>
              </w:rPr>
              <w:t>。</w:t>
            </w:r>
          </w:p>
        </w:tc>
        <w:tc>
          <w:tcPr>
            <w:tcW w:w="7800"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63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spacing w:line="440" w:lineRule="exact"/>
              <w:ind w:right="0" w:rightChars="0"/>
              <w:jc w:val="both"/>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7.</w:t>
            </w:r>
            <w:r>
              <w:rPr>
                <w:rFonts w:hint="eastAsia" w:ascii="宋体" w:hAnsi="宋体" w:cs="宋体"/>
                <w:sz w:val="24"/>
                <w:lang w:eastAsia="zh-CN"/>
              </w:rPr>
              <w:t>建议设置</w:t>
            </w:r>
            <w:r>
              <w:rPr>
                <w:rFonts w:hint="eastAsia" w:ascii="宋体" w:hAnsi="宋体" w:cs="宋体"/>
                <w:sz w:val="24"/>
                <w:lang w:val="en-US" w:eastAsia="zh-CN"/>
              </w:rPr>
              <w:t>2-3门</w:t>
            </w:r>
            <w:r>
              <w:rPr>
                <w:rFonts w:hint="eastAsia" w:ascii="宋体" w:hAnsi="宋体" w:cs="宋体"/>
                <w:sz w:val="24"/>
              </w:rPr>
              <w:t>涉海特色课程</w:t>
            </w:r>
            <w:r>
              <w:rPr>
                <w:rFonts w:hint="eastAsia" w:ascii="宋体" w:hAnsi="宋体" w:cs="宋体"/>
                <w:sz w:val="24"/>
                <w:lang w:eastAsia="zh-CN"/>
              </w:rPr>
              <w:t>，体现海洋特色。</w:t>
            </w:r>
          </w:p>
        </w:tc>
        <w:tc>
          <w:tcPr>
            <w:tcW w:w="7800"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bl>
    <w:p>
      <w:pPr>
        <w:jc w:val="center"/>
      </w:pPr>
      <w:r>
        <w:rPr>
          <w:rFonts w:hint="eastAsia" w:ascii="宋体" w:hAnsi="宋体"/>
          <w:bCs/>
          <w:sz w:val="24"/>
        </w:rPr>
        <w:t>执笔人：</w:t>
      </w:r>
      <w:r>
        <w:rPr>
          <w:rFonts w:ascii="宋体" w:hAnsi="宋体"/>
          <w:bCs/>
          <w:sz w:val="24"/>
        </w:rPr>
        <w:t xml:space="preserve">                             </w:t>
      </w:r>
      <w:r>
        <w:rPr>
          <w:rFonts w:hint="eastAsia" w:ascii="宋体" w:hAnsi="宋体"/>
          <w:bCs/>
          <w:sz w:val="24"/>
          <w:lang w:val="en-US" w:eastAsia="zh-CN"/>
        </w:rPr>
        <w:t xml:space="preserve">                         </w:t>
      </w:r>
      <w:r>
        <w:rPr>
          <w:rFonts w:hint="eastAsia" w:ascii="宋体" w:hAnsi="宋体"/>
          <w:bCs/>
          <w:sz w:val="24"/>
        </w:rPr>
        <w:t>时间：</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年</w:t>
      </w:r>
      <w:r>
        <w:rPr>
          <w:rFonts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月</w:t>
      </w:r>
      <w:r>
        <w:rPr>
          <w:rFonts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日</w:t>
      </w:r>
    </w:p>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宋体"/>
    <w:panose1 w:val="00000000000000000000"/>
    <w:charset w:val="86"/>
    <w:family w:val="auto"/>
    <w:pitch w:val="default"/>
    <w:sig w:usb0="00000000" w:usb1="00000000" w:usb2="00000010" w:usb3="00000000" w:csb0="00040000" w:csb1="00000000"/>
  </w:font>
  <w:font w:name="汉仪书宋二简">
    <w:altName w:val="SimSun-ExtB"/>
    <w:panose1 w:val="00000000000000000000"/>
    <w:charset w:val="86"/>
    <w:family w:val="modern"/>
    <w:pitch w:val="default"/>
    <w:sig w:usb0="00000000" w:usb1="00000000" w:usb2="00000012"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新宋体">
    <w:panose1 w:val="02010609030101010101"/>
    <w:charset w:val="86"/>
    <w:family w:val="modern"/>
    <w:pitch w:val="default"/>
    <w:sig w:usb0="000000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A97586"/>
    <w:rsid w:val="010E3A83"/>
    <w:rsid w:val="0B0D039B"/>
    <w:rsid w:val="0C1B4C2C"/>
    <w:rsid w:val="0E4B50D1"/>
    <w:rsid w:val="0EA86D90"/>
    <w:rsid w:val="12DB5170"/>
    <w:rsid w:val="23C55634"/>
    <w:rsid w:val="28A97586"/>
    <w:rsid w:val="2BB96F1F"/>
    <w:rsid w:val="2CBF1805"/>
    <w:rsid w:val="2FEB7B3E"/>
    <w:rsid w:val="3FC10002"/>
    <w:rsid w:val="405C2FAB"/>
    <w:rsid w:val="45351B7E"/>
    <w:rsid w:val="467961A3"/>
    <w:rsid w:val="537A24F9"/>
    <w:rsid w:val="578A23E2"/>
    <w:rsid w:val="5D1E3634"/>
    <w:rsid w:val="72552A18"/>
    <w:rsid w:val="7790026F"/>
    <w:rsid w:val="7BC608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2017-12-21T13:46:00Z</dcterms:created>
  <dc:creator>Administrator</dc:creator>
  <cp:lastModifiedBy>Administrator</cp:lastModifiedBy>
  <cp:lastPrinted>2017-12-22T00:08:00Z</cp:lastPrinted>
  <dcterms:modified xsi:type="dcterms:W3CDTF">2017-12-24T08:39:29Z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