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经济学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1）“三、关系表”中的所列“毕业要求”要与“二、毕业要求”相同；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结合专业实际，减少一般性的描述。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，避免毕业要求、指标点之间的重复。避免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/>
                <w:b w:val="0"/>
                <w:bCs/>
                <w:color w:val="000000"/>
                <w:szCs w:val="21"/>
                <w:lang w:eastAsia="zh-CN"/>
              </w:rPr>
              <w:t>要将培养方案中每一门课程（含实践环节）列入关系表中，体现每一门课程对培养目标、毕业要求的贡献度，同一门课程可以支撑多个指标点。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专业核心课程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建议调整：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博弈论作为研究现代经济学的重要方法论，建议在专业核心课程中开设。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财政学和国际金融不建议在专业核心课程中开设，可作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为专业拓展课中的选修课。或者</w:t>
            </w:r>
            <w:r>
              <w:rPr>
                <w:rFonts w:hint="eastAsia" w:ascii="宋体" w:hAnsi="宋体"/>
                <w:sz w:val="24"/>
              </w:rPr>
              <w:t>将国际金融归入金融学内,合并后适当增加金融学课程学分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/>
                <w:b/>
                <w:bCs/>
                <w:sz w:val="24"/>
              </w:rPr>
              <w:t>实践教学设置欠缺且结构不合理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</w:rPr>
              <w:t>建议适当增加实验实践环节的学分比例,特别是在专业课程上,这类学时严重不足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建议设置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2-3门</w:t>
            </w:r>
            <w:r>
              <w:rPr>
                <w:rFonts w:hint="eastAsia" w:ascii="宋体" w:hAnsi="宋体" w:cs="宋体"/>
                <w:sz w:val="24"/>
              </w:rPr>
              <w:t>涉海特色课程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，体现海洋特色。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学科专业拓展课应全部为选修学分，要求设置最低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10学分，提供15学分以上的课程供学生选择。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C1B4C2C"/>
    <w:rsid w:val="0EA86D90"/>
    <w:rsid w:val="12DB5170"/>
    <w:rsid w:val="23C55634"/>
    <w:rsid w:val="28A97586"/>
    <w:rsid w:val="2BB96F1F"/>
    <w:rsid w:val="3FC10002"/>
    <w:rsid w:val="405C2FAB"/>
    <w:rsid w:val="45351B7E"/>
    <w:rsid w:val="466E4269"/>
    <w:rsid w:val="467961A3"/>
    <w:rsid w:val="537A24F9"/>
    <w:rsid w:val="72552A18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2017-12-24T07:53:03Z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