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ascii="仿宋_GB2312" w:eastAsia="仿宋_GB2312"/>
          <w:kern w:val="0"/>
          <w:sz w:val="24"/>
        </w:rPr>
      </w:pPr>
      <w:r>
        <w:rPr>
          <w:rFonts w:hint="eastAsia" w:ascii="仿宋_GB2312" w:eastAsia="仿宋_GB2312"/>
          <w:kern w:val="0"/>
          <w:sz w:val="24"/>
        </w:rPr>
        <w:t>附件</w:t>
      </w:r>
      <w:r>
        <w:rPr>
          <w:rFonts w:hint="eastAsia" w:ascii="仿宋_GB2312" w:eastAsia="仿宋_GB2312"/>
          <w:kern w:val="0"/>
          <w:sz w:val="24"/>
          <w:lang w:val="en-US" w:eastAsia="zh-CN"/>
        </w:rPr>
        <w:t>2</w:t>
      </w:r>
      <w:r>
        <w:rPr>
          <w:rFonts w:hint="eastAsia" w:ascii="仿宋_GB2312" w:eastAsia="仿宋_GB2312"/>
          <w:kern w:val="0"/>
          <w:sz w:val="24"/>
        </w:rPr>
        <w:t>：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 w:val="32"/>
          <w:szCs w:val="32"/>
          <w:lang w:eastAsia="zh-CN"/>
        </w:rPr>
      </w:pPr>
      <w:r>
        <w:rPr>
          <w:rFonts w:hint="eastAsia" w:ascii="黑体" w:hAnsi="宋体" w:eastAsia="黑体"/>
          <w:sz w:val="32"/>
          <w:szCs w:val="32"/>
        </w:rPr>
        <w:t>广东海洋大学</w:t>
      </w:r>
      <w:r>
        <w:rPr>
          <w:rFonts w:hint="eastAsia" w:ascii="黑体" w:hAnsi="宋体" w:eastAsia="黑体"/>
          <w:sz w:val="32"/>
          <w:szCs w:val="32"/>
          <w:lang w:eastAsia="zh-CN"/>
        </w:rPr>
        <w:t>本科课程</w:t>
      </w:r>
      <w:r>
        <w:rPr>
          <w:rFonts w:hint="eastAsia" w:ascii="黑体" w:hAnsi="宋体" w:eastAsia="黑体"/>
          <w:sz w:val="32"/>
          <w:szCs w:val="32"/>
        </w:rPr>
        <w:t>创新创业教育案例评</w:t>
      </w:r>
      <w:r>
        <w:rPr>
          <w:rFonts w:hint="eastAsia" w:ascii="黑体" w:hAnsi="宋体" w:eastAsia="黑体"/>
          <w:sz w:val="32"/>
          <w:szCs w:val="32"/>
          <w:lang w:eastAsia="zh-CN"/>
        </w:rPr>
        <w:t>分表</w:t>
      </w:r>
    </w:p>
    <w:p>
      <w:pPr>
        <w:adjustRightInd w:val="0"/>
        <w:snapToGrid w:val="0"/>
        <w:spacing w:line="360" w:lineRule="auto"/>
        <w:jc w:val="left"/>
        <w:rPr>
          <w:rFonts w:hint="eastAsia" w:ascii="黑体" w:hAnsi="宋体" w:eastAsia="黑体"/>
          <w:sz w:val="24"/>
          <w:szCs w:val="24"/>
          <w:lang w:eastAsia="zh-CN"/>
        </w:rPr>
      </w:pPr>
      <w:r>
        <w:rPr>
          <w:rFonts w:hint="eastAsia" w:ascii="黑体" w:hAnsi="宋体" w:eastAsia="黑体"/>
          <w:sz w:val="24"/>
          <w:szCs w:val="24"/>
          <w:lang w:eastAsia="zh-CN"/>
        </w:rPr>
        <w:t>《课程名称》：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                        课程编号：</w:t>
      </w:r>
    </w:p>
    <w:tbl>
      <w:tblPr>
        <w:tblStyle w:val="6"/>
        <w:tblW w:w="92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4"/>
        <w:gridCol w:w="3471"/>
        <w:gridCol w:w="729"/>
        <w:gridCol w:w="434"/>
        <w:gridCol w:w="434"/>
        <w:gridCol w:w="461"/>
        <w:gridCol w:w="425"/>
        <w:gridCol w:w="443"/>
        <w:gridCol w:w="452"/>
        <w:gridCol w:w="425"/>
        <w:gridCol w:w="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8" w:hRule="atLeast"/>
          <w:jc w:val="center"/>
        </w:trPr>
        <w:tc>
          <w:tcPr>
            <w:tcW w:w="1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评审指标</w:t>
            </w:r>
          </w:p>
        </w:tc>
        <w:tc>
          <w:tcPr>
            <w:tcW w:w="34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审核标准</w:t>
            </w:r>
          </w:p>
        </w:tc>
        <w:tc>
          <w:tcPr>
            <w:tcW w:w="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分值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（M</w:t>
            </w:r>
            <w:r>
              <w:rPr>
                <w:rFonts w:hint="eastAsia" w:ascii="黑体" w:eastAsia="黑体"/>
                <w:bCs/>
                <w:sz w:val="24"/>
                <w:vertAlign w:val="subscript"/>
              </w:rPr>
              <w:t>i</w:t>
            </w:r>
            <w:r>
              <w:rPr>
                <w:rFonts w:hint="eastAsia" w:ascii="黑体" w:eastAsia="黑体"/>
                <w:bCs/>
                <w:sz w:val="24"/>
              </w:rPr>
              <w:t>）</w:t>
            </w:r>
          </w:p>
        </w:tc>
        <w:tc>
          <w:tcPr>
            <w:tcW w:w="21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评分等级（K</w:t>
            </w:r>
            <w:r>
              <w:rPr>
                <w:rFonts w:hint="eastAsia" w:ascii="黑体" w:eastAsia="黑体"/>
                <w:bCs/>
                <w:sz w:val="24"/>
                <w:vertAlign w:val="subscript"/>
              </w:rPr>
              <w:t>i</w:t>
            </w:r>
            <w:r>
              <w:rPr>
                <w:rFonts w:hint="eastAsia" w:ascii="黑体" w:eastAsia="黑体"/>
                <w:bCs/>
                <w:sz w:val="24"/>
              </w:rPr>
              <w:t>）</w:t>
            </w: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eastAsia="黑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eastAsia="黑体"/>
                <w:bCs/>
                <w:sz w:val="21"/>
                <w:szCs w:val="21"/>
                <w:lang w:eastAsia="zh-CN"/>
              </w:rPr>
              <w:t>教师自评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eastAsia="黑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eastAsia="黑体"/>
                <w:bCs/>
                <w:sz w:val="21"/>
                <w:szCs w:val="21"/>
                <w:lang w:eastAsia="zh-CN"/>
              </w:rPr>
              <w:t>学院评分</w:t>
            </w:r>
          </w:p>
        </w:tc>
        <w:tc>
          <w:tcPr>
            <w:tcW w:w="38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黑体" w:eastAsia="黑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eastAsia="黑体"/>
                <w:bCs/>
                <w:sz w:val="21"/>
                <w:szCs w:val="21"/>
                <w:lang w:eastAsia="zh-CN"/>
              </w:rPr>
              <w:t>学校评分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atLeast"/>
          <w:jc w:val="center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黑体" w:hAnsi="宋体" w:eastAsia="黑体"/>
                <w:sz w:val="24"/>
              </w:rPr>
            </w:pPr>
          </w:p>
        </w:tc>
        <w:tc>
          <w:tcPr>
            <w:tcW w:w="3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黑体" w:hAnsi="宋体" w:eastAsia="黑体"/>
                <w:sz w:val="24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黑体" w:hAnsi="宋体" w:eastAsia="黑体"/>
                <w:bCs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A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B</w:t>
            </w: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C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D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E</w:t>
            </w:r>
          </w:p>
        </w:tc>
        <w:tc>
          <w:tcPr>
            <w:tcW w:w="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8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5" w:hRule="atLeast"/>
          <w:jc w:val="center"/>
        </w:trPr>
        <w:tc>
          <w:tcPr>
            <w:tcW w:w="1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黑体" w:hAnsi="宋体" w:eastAsia="黑体"/>
                <w:sz w:val="24"/>
              </w:rPr>
            </w:pPr>
          </w:p>
        </w:tc>
        <w:tc>
          <w:tcPr>
            <w:tcW w:w="34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黑体" w:hAnsi="宋体" w:eastAsia="黑体"/>
                <w:sz w:val="24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黑体" w:hAnsi="宋体" w:eastAsia="黑体"/>
                <w:bCs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1.0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0.8</w:t>
            </w: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0.6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0.4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0.2</w:t>
            </w:r>
          </w:p>
        </w:tc>
        <w:tc>
          <w:tcPr>
            <w:tcW w:w="45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60" w:hRule="atLeast"/>
          <w:jc w:val="center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1 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案例基本</w:t>
            </w:r>
            <w:r>
              <w:rPr>
                <w:rFonts w:hint="eastAsia" w:ascii="仿宋_GB2312" w:eastAsia="仿宋_GB2312"/>
                <w:bCs/>
                <w:sz w:val="24"/>
              </w:rPr>
              <w:t>信息</w:t>
            </w: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完整性、正确性</w:t>
            </w:r>
          </w:p>
        </w:tc>
        <w:tc>
          <w:tcPr>
            <w:tcW w:w="3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案例对应的</w:t>
            </w:r>
            <w:r>
              <w:rPr>
                <w:rFonts w:hint="eastAsia" w:ascii="仿宋_GB2312" w:hAnsi="宋体" w:eastAsia="仿宋_GB2312"/>
                <w:sz w:val="24"/>
              </w:rPr>
              <w:t>课程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中英文名称、课程</w:t>
            </w:r>
            <w:r>
              <w:rPr>
                <w:rFonts w:hint="eastAsia" w:ascii="仿宋_GB2312" w:hAnsi="宋体" w:eastAsia="仿宋_GB2312"/>
                <w:sz w:val="24"/>
              </w:rPr>
              <w:t>代码、课程名称、学时、案例数、执笔人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</w:rPr>
              <w:t>案例名称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等</w:t>
            </w:r>
            <w:r>
              <w:rPr>
                <w:rFonts w:hint="eastAsia" w:ascii="仿宋_GB2312" w:hAnsi="宋体" w:eastAsia="仿宋_GB2312"/>
                <w:sz w:val="24"/>
              </w:rPr>
              <w:t>信息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完整、</w:t>
            </w:r>
            <w:r>
              <w:rPr>
                <w:rFonts w:hint="eastAsia" w:ascii="仿宋_GB2312" w:hAnsi="宋体" w:eastAsia="仿宋_GB2312"/>
                <w:sz w:val="24"/>
              </w:rPr>
              <w:t>正确。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sz w:val="24"/>
              </w:rPr>
              <w:t>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atLeast"/>
          <w:jc w:val="center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 案例数目</w:t>
            </w:r>
          </w:p>
        </w:tc>
        <w:tc>
          <w:tcPr>
            <w:tcW w:w="3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每门课程至少一个案例（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/>
                <w:sz w:val="24"/>
              </w:rPr>
              <w:t>分），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每增加一个案例，加</w:t>
            </w:r>
            <w:r>
              <w:rPr>
                <w:rFonts w:hint="eastAsia" w:ascii="仿宋_GB2312" w:hAnsi="宋体" w:eastAsia="仿宋_GB2312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分，满分</w:t>
            </w:r>
            <w:r>
              <w:rPr>
                <w:rFonts w:hint="eastAsia" w:ascii="仿宋_GB2312" w:hAnsi="宋体" w:eastAsia="仿宋_GB2312"/>
                <w:sz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分。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</w:rPr>
              <w:t>0分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7" w:hRule="exact"/>
          <w:jc w:val="center"/>
        </w:trPr>
        <w:tc>
          <w:tcPr>
            <w:tcW w:w="1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 案例内容</w:t>
            </w:r>
          </w:p>
        </w:tc>
        <w:tc>
          <w:tcPr>
            <w:tcW w:w="3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案例健康积极向上、符合创新创业主题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。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20分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6" w:hRule="exact"/>
          <w:jc w:val="center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案例体现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我校</w:t>
            </w:r>
            <w:r>
              <w:rPr>
                <w:rFonts w:hint="eastAsia" w:ascii="仿宋_GB2312" w:hAnsi="宋体" w:eastAsia="仿宋_GB2312"/>
                <w:sz w:val="24"/>
              </w:rPr>
              <w:t>创新创业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教育和创新人才培养成果</w:t>
            </w:r>
            <w:r>
              <w:rPr>
                <w:rFonts w:hint="eastAsia" w:ascii="仿宋_GB2312" w:hAnsi="宋体" w:eastAsia="仿宋_GB2312"/>
                <w:sz w:val="24"/>
              </w:rPr>
              <w:t>。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35</w:t>
            </w:r>
            <w:r>
              <w:rPr>
                <w:rFonts w:hint="eastAsia" w:ascii="仿宋_GB2312" w:eastAsia="仿宋_GB2312"/>
                <w:bCs/>
                <w:sz w:val="24"/>
              </w:rPr>
              <w:t>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24" w:hRule="exact"/>
          <w:jc w:val="center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案例语言文字、标点符号是否有错误。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sz w:val="24"/>
              </w:rPr>
              <w:t>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exact"/>
          <w:jc w:val="center"/>
        </w:trPr>
        <w:tc>
          <w:tcPr>
            <w:tcW w:w="1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案例正文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字数适宜，符合要求。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sz w:val="24"/>
              </w:rPr>
              <w:t>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3" w:hRule="exact"/>
          <w:jc w:val="center"/>
        </w:trPr>
        <w:tc>
          <w:tcPr>
            <w:tcW w:w="5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总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分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100分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adjustRightInd w:val="0"/>
        <w:snapToGrid w:val="0"/>
        <w:spacing w:before="156" w:beforeLines="50" w:line="300" w:lineRule="auto"/>
        <w:ind w:left="17" w:firstLine="480" w:firstLineChars="200"/>
        <w:rPr>
          <w:rFonts w:ascii="仿宋_GB2312" w:eastAsia="仿宋_GB2312"/>
          <w:bCs/>
          <w:sz w:val="24"/>
        </w:rPr>
      </w:pPr>
      <w:r>
        <w:rPr>
          <w:rFonts w:hint="eastAsia" w:ascii="仿宋_GB2312" w:eastAsia="仿宋_GB2312"/>
          <w:bCs/>
          <w:sz w:val="24"/>
        </w:rPr>
        <w:t>注：</w:t>
      </w:r>
    </w:p>
    <w:p>
      <w:pPr>
        <w:adjustRightInd w:val="0"/>
        <w:snapToGrid w:val="0"/>
        <w:spacing w:line="300" w:lineRule="auto"/>
        <w:ind w:left="17" w:firstLine="480" w:firstLineChars="200"/>
      </w:pPr>
      <w:r>
        <w:rPr>
          <w:rFonts w:hint="eastAsia" w:ascii="仿宋_GB2312" w:eastAsia="仿宋_GB2312"/>
          <w:bCs/>
          <w:sz w:val="24"/>
        </w:rPr>
        <w:t>总分计算：M=∑KiMi，其中Ki为评分等级系数，A、B、C、D、E的系数分别为1.0、0.8、0.6、0.4、0.2，Mi是各二级指标的分值。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AED"/>
    <w:rsid w:val="00732A6F"/>
    <w:rsid w:val="008A1AED"/>
    <w:rsid w:val="00AB1F12"/>
    <w:rsid w:val="00C97F96"/>
    <w:rsid w:val="0E250A65"/>
    <w:rsid w:val="168E5731"/>
    <w:rsid w:val="2EE26877"/>
    <w:rsid w:val="4DC01DDC"/>
    <w:rsid w:val="4E100146"/>
    <w:rsid w:val="5AA5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558</Characters>
  <Lines>4</Lines>
  <Paragraphs>1</Paragraphs>
  <ScaleCrop>false</ScaleCrop>
  <LinksUpToDate>false</LinksUpToDate>
  <CharactersWithSpaces>654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2017-03-17T08:18:00Z</dcterms:created>
  <dc:creator>张光亚</dc:creator>
  <cp:lastModifiedBy>Administrator</cp:lastModifiedBy>
  <dcterms:modified xsi:type="dcterms:W3CDTF">2017-11-29T03:00:18Z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