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4117" w:type="dxa"/>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
      <w:tblGrid>
        <w:gridCol w:w="6125"/>
        <w:gridCol w:w="7992"/>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495" w:hRule="atLeast"/>
          <w:tblHeader/>
        </w:trPr>
        <w:tc>
          <w:tcPr>
            <w:tcW w:w="14117" w:type="dxa"/>
            <w:gridSpan w:val="2"/>
            <w:tcBorders>
              <w:top w:val="nil"/>
              <w:left w:val="nil"/>
              <w:bottom w:val="single" w:color="000000" w:sz="4" w:space="0"/>
              <w:right w:val="nil"/>
            </w:tcBorders>
            <w:vAlign w:val="center"/>
          </w:tcPr>
          <w:p>
            <w:r>
              <w:rPr>
                <w:rFonts w:hint="eastAsia"/>
              </w:rPr>
              <w:t>附件</w:t>
            </w:r>
            <w:r>
              <w:t>1</w:t>
            </w:r>
          </w:p>
          <w:p>
            <w:pPr>
              <w:spacing w:line="360" w:lineRule="exact"/>
              <w:jc w:val="center"/>
              <w:rPr>
                <w:rFonts w:ascii="Times New Roman" w:hAnsi="Times New Roman"/>
                <w:bCs/>
                <w:sz w:val="24"/>
              </w:rPr>
            </w:pPr>
            <w:r>
              <w:rPr>
                <w:rFonts w:hint="eastAsia" w:ascii="Times New Roman" w:hAnsi="Times New Roman"/>
                <w:b/>
                <w:bCs w:val="0"/>
                <w:sz w:val="24"/>
                <w:lang w:val="en-US" w:eastAsia="zh-CN"/>
              </w:rPr>
              <w:t>农业资源与环境</w:t>
            </w:r>
            <w:r>
              <w:rPr>
                <w:rFonts w:hint="eastAsia" w:ascii="Times New Roman" w:hAnsi="Times New Roman"/>
                <w:bCs/>
                <w:sz w:val="24"/>
              </w:rPr>
              <w:t>专业</w:t>
            </w:r>
            <w:r>
              <w:rPr>
                <w:rFonts w:ascii="Times New Roman" w:hAnsi="Times New Roman"/>
                <w:bCs/>
                <w:sz w:val="24"/>
              </w:rPr>
              <w:t>2017</w:t>
            </w:r>
            <w:r>
              <w:rPr>
                <w:rFonts w:hint="eastAsia" w:ascii="Times New Roman" w:hAnsi="Times New Roman"/>
                <w:bCs/>
                <w:sz w:val="24"/>
              </w:rPr>
              <w:t>版</w:t>
            </w:r>
            <w:r>
              <w:rPr>
                <w:rFonts w:hint="eastAsia" w:ascii="Times New Roman" w:hAnsi="Times New Roman"/>
                <w:bCs/>
                <w:sz w:val="24"/>
                <w:lang w:eastAsia="zh-CN"/>
              </w:rPr>
              <w:t>学分制</w:t>
            </w:r>
            <w:r>
              <w:rPr>
                <w:rFonts w:hint="eastAsia" w:ascii="Times New Roman" w:hAnsi="Times New Roman"/>
                <w:bCs/>
                <w:sz w:val="24"/>
              </w:rPr>
              <w:t>培养方案专家评审意见及</w:t>
            </w:r>
            <w:r>
              <w:rPr>
                <w:rFonts w:hint="eastAsia" w:ascii="Times New Roman" w:hAnsi="Times New Roman"/>
                <w:bCs/>
                <w:sz w:val="24"/>
                <w:lang w:eastAsia="zh-CN"/>
              </w:rPr>
              <w:t>专业</w:t>
            </w:r>
            <w:r>
              <w:rPr>
                <w:rFonts w:hint="eastAsia" w:ascii="Times New Roman" w:hAnsi="Times New Roman"/>
                <w:bCs/>
                <w:sz w:val="24"/>
              </w:rPr>
              <w:t>修改完善自查情况表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391" w:hRule="atLeast"/>
          <w:tblHeader/>
        </w:trPr>
        <w:tc>
          <w:tcPr>
            <w:tcW w:w="6125" w:type="dxa"/>
            <w:tcBorders>
              <w:top w:val="single" w:color="000000" w:sz="4" w:space="0"/>
              <w:left w:val="single" w:color="000000" w:sz="4" w:space="0"/>
              <w:bottom w:val="single" w:color="auto" w:sz="4" w:space="0"/>
              <w:right w:val="single" w:color="auto"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评审意见</w:t>
            </w:r>
          </w:p>
        </w:tc>
        <w:tc>
          <w:tcPr>
            <w:tcW w:w="7992" w:type="dxa"/>
            <w:tcBorders>
              <w:top w:val="single" w:color="000000" w:sz="4" w:space="0"/>
              <w:left w:val="single" w:color="auto" w:sz="4" w:space="0"/>
              <w:bottom w:val="single" w:color="auto" w:sz="4" w:space="0"/>
              <w:right w:val="single" w:color="000000"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修改完善的具体措施</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612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440" w:lineRule="exact"/>
              <w:ind w:right="0" w:rightChars="0"/>
              <w:jc w:val="both"/>
              <w:textAlignment w:val="auto"/>
              <w:outlineLvl w:val="9"/>
              <w:rPr>
                <w:rFonts w:ascii="宋体" w:hAnsi="宋体" w:cs="宋体"/>
                <w:sz w:val="24"/>
              </w:rPr>
            </w:pPr>
            <w:r>
              <w:rPr>
                <w:rFonts w:hint="eastAsia" w:ascii="宋体" w:hAnsi="宋体" w:cs="宋体"/>
                <w:sz w:val="24"/>
                <w:szCs w:val="24"/>
                <w:lang w:val="en-US" w:eastAsia="zh-CN"/>
              </w:rPr>
              <w:t>1.</w:t>
            </w:r>
            <w:r>
              <w:rPr>
                <w:rFonts w:hint="eastAsia" w:ascii="宋体" w:hAnsi="宋体" w:eastAsia="宋体" w:cs="宋体"/>
                <w:bCs/>
                <w:sz w:val="24"/>
                <w:szCs w:val="24"/>
              </w:rPr>
              <w:t>毕业要求过于形式化，而没有具体的可量化的指标，而且对专业技能的要求也过于笼统</w:t>
            </w:r>
            <w:r>
              <w:rPr>
                <w:rFonts w:hint="eastAsia" w:ascii="宋体" w:hAnsi="宋体" w:eastAsia="宋体" w:cs="宋体"/>
                <w:bCs/>
                <w:sz w:val="24"/>
                <w:szCs w:val="24"/>
                <w:lang w:eastAsia="zh-CN"/>
              </w:rPr>
              <w:t>，建议进一步细化。</w:t>
            </w:r>
          </w:p>
        </w:tc>
        <w:tc>
          <w:tcPr>
            <w:tcW w:w="799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bookmarkStart w:id="0" w:name="_GoBack"/>
            <w:bookmarkEnd w:id="0"/>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612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ascii="宋体" w:hAnsi="宋体" w:cs="宋体"/>
                <w:sz w:val="24"/>
              </w:rPr>
            </w:pPr>
            <w:r>
              <w:rPr>
                <w:rFonts w:ascii="宋体" w:hAnsi="宋体" w:cs="宋体"/>
                <w:sz w:val="24"/>
              </w:rPr>
              <w:t>2.</w:t>
            </w:r>
            <w:r>
              <w:rPr>
                <w:rFonts w:hint="eastAsia" w:ascii="宋体" w:hAnsi="宋体" w:cs="宋体"/>
                <w:sz w:val="24"/>
                <w:lang w:val="en-US" w:eastAsia="zh-CN"/>
              </w:rPr>
              <w:t>引入</w:t>
            </w:r>
            <w:r>
              <w:rPr>
                <w:rFonts w:hint="eastAsia" w:ascii="宋体" w:hAnsi="宋体" w:cs="宋体"/>
                <w:sz w:val="24"/>
              </w:rPr>
              <w:t>专业认证</w:t>
            </w:r>
            <w:r>
              <w:rPr>
                <w:rFonts w:hint="eastAsia" w:ascii="宋体" w:hAnsi="宋体" w:cs="宋体"/>
                <w:sz w:val="24"/>
                <w:lang w:eastAsia="zh-CN"/>
              </w:rPr>
              <w:t>理念和</w:t>
            </w:r>
            <w:r>
              <w:rPr>
                <w:rFonts w:hint="eastAsia" w:ascii="宋体" w:hAnsi="宋体" w:cs="宋体"/>
                <w:sz w:val="24"/>
              </w:rPr>
              <w:t>标准</w:t>
            </w:r>
            <w:r>
              <w:rPr>
                <w:rFonts w:hint="eastAsia" w:ascii="宋体" w:hAnsi="宋体" w:cs="宋体"/>
                <w:sz w:val="24"/>
                <w:lang w:eastAsia="zh-CN"/>
              </w:rPr>
              <w:t>，对毕业要求和相关课程进行优化、完善。（</w:t>
            </w:r>
            <w:r>
              <w:rPr>
                <w:rFonts w:hint="eastAsia" w:ascii="宋体" w:hAnsi="宋体" w:cs="宋体"/>
                <w:sz w:val="24"/>
                <w:lang w:val="en-US" w:eastAsia="zh-CN"/>
              </w:rPr>
              <w:t>1）</w:t>
            </w:r>
            <w:r>
              <w:rPr>
                <w:rFonts w:hint="eastAsia" w:ascii="宋体" w:hAnsi="宋体" w:eastAsia="宋体" w:cs="宋体"/>
                <w:sz w:val="24"/>
                <w:szCs w:val="24"/>
              </w:rPr>
              <w:t>毕业要求</w:t>
            </w:r>
            <w:r>
              <w:rPr>
                <w:rFonts w:hint="eastAsia" w:ascii="宋体" w:hAnsi="宋体" w:eastAsia="宋体" w:cs="宋体"/>
                <w:sz w:val="24"/>
                <w:szCs w:val="24"/>
                <w:lang w:eastAsia="zh-CN"/>
              </w:rPr>
              <w:t>要</w:t>
            </w:r>
            <w:r>
              <w:rPr>
                <w:rFonts w:hint="eastAsia" w:ascii="宋体" w:hAnsi="宋体" w:eastAsia="宋体" w:cs="宋体"/>
                <w:sz w:val="24"/>
                <w:szCs w:val="24"/>
              </w:rPr>
              <w:t>充分体现专业</w:t>
            </w:r>
            <w:r>
              <w:rPr>
                <w:rFonts w:hint="eastAsia" w:ascii="宋体" w:hAnsi="宋体" w:cs="宋体"/>
                <w:sz w:val="24"/>
                <w:szCs w:val="24"/>
                <w:lang w:eastAsia="zh-CN"/>
              </w:rPr>
              <w:t>的</w:t>
            </w:r>
            <w:r>
              <w:rPr>
                <w:rFonts w:hint="eastAsia" w:ascii="宋体" w:hAnsi="宋体" w:eastAsia="宋体" w:cs="宋体"/>
                <w:sz w:val="24"/>
                <w:szCs w:val="24"/>
              </w:rPr>
              <w:t>核心内容</w:t>
            </w:r>
            <w:r>
              <w:rPr>
                <w:rFonts w:hint="eastAsia" w:ascii="宋体" w:hAnsi="宋体" w:eastAsia="宋体" w:cs="宋体"/>
                <w:sz w:val="24"/>
                <w:szCs w:val="24"/>
                <w:lang w:eastAsia="zh-CN"/>
              </w:rPr>
              <w:t>，</w:t>
            </w:r>
            <w:r>
              <w:rPr>
                <w:rFonts w:hint="eastAsia" w:ascii="宋体" w:hAnsi="宋体" w:eastAsia="宋体" w:cs="宋体"/>
                <w:sz w:val="24"/>
                <w:szCs w:val="24"/>
              </w:rPr>
              <w:t>毕业要求</w:t>
            </w:r>
            <w:r>
              <w:rPr>
                <w:rFonts w:hint="eastAsia" w:ascii="宋体" w:hAnsi="宋体" w:cs="宋体"/>
                <w:sz w:val="24"/>
                <w:lang w:eastAsia="zh-CN"/>
              </w:rPr>
              <w:t>的描述要注意逻辑性和递进性，避免毕业要求之间、指标点之间的重复性。（</w:t>
            </w:r>
            <w:r>
              <w:rPr>
                <w:rFonts w:hint="eastAsia" w:ascii="宋体" w:hAnsi="宋体" w:cs="宋体"/>
                <w:sz w:val="24"/>
                <w:lang w:val="en-US" w:eastAsia="zh-CN"/>
              </w:rPr>
              <w:t>2）</w:t>
            </w:r>
            <w:r>
              <w:rPr>
                <w:rFonts w:hint="eastAsia" w:ascii="宋体" w:hAnsi="宋体" w:cs="宋体"/>
                <w:sz w:val="24"/>
                <w:lang w:eastAsia="zh-CN"/>
              </w:rPr>
              <w:t>要将培养方案中每一门课程（含实践环节）列入“三、关系表”中，进一步梳理，准确定位对应支撑的指标点和毕业要求，体现每一门课程对培养目标、毕业要求的贡献度，同一门课程可以支撑多个指标点。（</w:t>
            </w:r>
            <w:r>
              <w:rPr>
                <w:rFonts w:hint="eastAsia" w:ascii="宋体" w:hAnsi="宋体" w:cs="宋体"/>
                <w:sz w:val="24"/>
                <w:lang w:val="en-US" w:eastAsia="zh-CN"/>
              </w:rPr>
              <w:t>3）“三、关系表”</w:t>
            </w:r>
            <w:r>
              <w:rPr>
                <w:rFonts w:hint="eastAsia" w:ascii="宋体" w:hAnsi="宋体" w:eastAsia="宋体" w:cs="宋体"/>
                <w:bCs/>
                <w:sz w:val="24"/>
                <w:szCs w:val="24"/>
              </w:rPr>
              <w:t>中毕业要求5对应的应该是“学科专业拓展课”而非“拓张课”；仅仅一门“农业资源与环境专业导论”，恐怕难以满足毕业要求6“熟悉资源管理与利用、环境保护的有关方针、政策和法规”</w:t>
            </w:r>
            <w:r>
              <w:rPr>
                <w:rFonts w:hint="eastAsia" w:ascii="宋体" w:hAnsi="宋体" w:cs="宋体"/>
                <w:bCs/>
                <w:sz w:val="24"/>
                <w:szCs w:val="24"/>
                <w:lang w:eastAsia="zh-CN"/>
              </w:rPr>
              <w:t>。（</w:t>
            </w:r>
            <w:r>
              <w:rPr>
                <w:rFonts w:hint="eastAsia" w:ascii="宋体" w:hAnsi="宋体" w:cs="宋体"/>
                <w:bCs/>
                <w:sz w:val="24"/>
                <w:szCs w:val="24"/>
                <w:lang w:val="en-US" w:eastAsia="zh-CN"/>
              </w:rPr>
              <w:t>4）</w:t>
            </w:r>
            <w:r>
              <w:rPr>
                <w:rFonts w:hint="eastAsia" w:ascii="宋体" w:hAnsi="宋体" w:cs="宋体"/>
                <w:sz w:val="24"/>
                <w:lang w:val="en-US" w:eastAsia="zh-CN"/>
              </w:rPr>
              <w:t>“三、关系表”</w:t>
            </w:r>
            <w:r>
              <w:rPr>
                <w:rFonts w:hint="eastAsia" w:ascii="宋体" w:hAnsi="宋体" w:eastAsia="宋体" w:cs="宋体"/>
                <w:bCs/>
                <w:sz w:val="24"/>
                <w:szCs w:val="24"/>
              </w:rPr>
              <w:t>中“培养目标”栏，</w:t>
            </w:r>
            <w:r>
              <w:rPr>
                <w:rFonts w:hint="eastAsia" w:ascii="宋体" w:hAnsi="宋体" w:eastAsia="宋体" w:cs="宋体"/>
                <w:bCs/>
                <w:sz w:val="24"/>
                <w:szCs w:val="24"/>
                <w:lang w:eastAsia="zh-CN"/>
              </w:rPr>
              <w:t>请核对。</w:t>
            </w:r>
          </w:p>
        </w:tc>
        <w:tc>
          <w:tcPr>
            <w:tcW w:w="799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612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eastAsia="宋体" w:cs="宋体"/>
                <w:sz w:val="24"/>
                <w:lang w:val="en-US" w:eastAsia="zh-CN"/>
              </w:rPr>
            </w:pPr>
            <w:r>
              <w:rPr>
                <w:rFonts w:hint="eastAsia" w:ascii="宋体" w:hAnsi="宋体" w:cs="宋体"/>
                <w:sz w:val="24"/>
                <w:lang w:val="en-US" w:eastAsia="zh-CN"/>
              </w:rPr>
              <w:t>3.</w:t>
            </w:r>
            <w:r>
              <w:rPr>
                <w:rFonts w:hint="eastAsia" w:ascii="宋体" w:hAnsi="宋体" w:eastAsia="宋体" w:cs="宋体"/>
                <w:bCs/>
                <w:sz w:val="24"/>
                <w:szCs w:val="24"/>
              </w:rPr>
              <w:t>专业核心课程设置</w:t>
            </w:r>
            <w:r>
              <w:rPr>
                <w:rFonts w:hint="eastAsia" w:ascii="宋体" w:hAnsi="宋体" w:eastAsia="宋体" w:cs="宋体"/>
                <w:bCs/>
                <w:sz w:val="24"/>
                <w:szCs w:val="24"/>
                <w:lang w:eastAsia="zh-CN"/>
              </w:rPr>
              <w:t>：农业微生物学、</w:t>
            </w:r>
            <w:r>
              <w:rPr>
                <w:rFonts w:hint="eastAsia" w:ascii="宋体" w:hAnsi="宋体" w:eastAsia="宋体" w:cs="宋体"/>
                <w:bCs/>
                <w:sz w:val="24"/>
                <w:szCs w:val="24"/>
              </w:rPr>
              <w:t>环境污染修复</w:t>
            </w:r>
            <w:r>
              <w:rPr>
                <w:rFonts w:hint="eastAsia" w:ascii="宋体" w:hAnsi="宋体" w:eastAsia="宋体" w:cs="宋体"/>
                <w:bCs/>
                <w:sz w:val="24"/>
                <w:szCs w:val="24"/>
                <w:lang w:eastAsia="zh-CN"/>
              </w:rPr>
              <w:t>等可纳入专业</w:t>
            </w:r>
            <w:r>
              <w:rPr>
                <w:rFonts w:hint="eastAsia" w:ascii="宋体" w:hAnsi="宋体" w:eastAsia="宋体" w:cs="宋体"/>
                <w:bCs/>
                <w:sz w:val="24"/>
                <w:szCs w:val="24"/>
              </w:rPr>
              <w:t>核心课程</w:t>
            </w:r>
            <w:r>
              <w:rPr>
                <w:rFonts w:hint="eastAsia" w:ascii="宋体" w:hAnsi="宋体" w:eastAsia="宋体" w:cs="宋体"/>
                <w:bCs/>
                <w:sz w:val="24"/>
                <w:szCs w:val="24"/>
                <w:lang w:eastAsia="zh-CN"/>
              </w:rPr>
              <w:t>。</w:t>
            </w:r>
          </w:p>
        </w:tc>
        <w:tc>
          <w:tcPr>
            <w:tcW w:w="799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612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440" w:lineRule="exact"/>
              <w:ind w:right="0" w:rightChars="0"/>
              <w:jc w:val="both"/>
              <w:textAlignment w:val="auto"/>
              <w:outlineLvl w:val="9"/>
              <w:rPr>
                <w:rFonts w:hint="eastAsia" w:ascii="宋体" w:hAnsi="宋体" w:eastAsia="宋体" w:cs="宋体"/>
                <w:sz w:val="24"/>
                <w:lang w:val="en-US" w:eastAsia="zh-CN"/>
              </w:rPr>
            </w:pPr>
            <w:r>
              <w:rPr>
                <w:rFonts w:hint="eastAsia" w:ascii="宋体" w:hAnsi="宋体" w:cs="宋体"/>
                <w:sz w:val="24"/>
                <w:lang w:val="en-US" w:eastAsia="zh-CN"/>
              </w:rPr>
              <w:t>4.</w:t>
            </w:r>
            <w:r>
              <w:rPr>
                <w:rFonts w:hint="eastAsia" w:ascii="宋体" w:hAnsi="宋体" w:eastAsia="宋体" w:cs="宋体"/>
                <w:bCs/>
                <w:sz w:val="24"/>
                <w:szCs w:val="24"/>
              </w:rPr>
              <w:t>实践教学设置不尽合理。比如：</w:t>
            </w:r>
            <w:r>
              <w:rPr>
                <w:rFonts w:hint="eastAsia" w:ascii="宋体" w:hAnsi="宋体" w:cs="宋体"/>
                <w:bCs/>
                <w:sz w:val="24"/>
                <w:szCs w:val="24"/>
                <w:lang w:eastAsia="zh-CN"/>
              </w:rPr>
              <w:t>（</w:t>
            </w:r>
            <w:r>
              <w:rPr>
                <w:rFonts w:hint="eastAsia" w:ascii="宋体" w:hAnsi="宋体" w:cs="宋体"/>
                <w:bCs/>
                <w:sz w:val="24"/>
                <w:szCs w:val="24"/>
                <w:lang w:val="en-US" w:eastAsia="zh-CN"/>
              </w:rPr>
              <w:t>1）</w:t>
            </w:r>
            <w:r>
              <w:rPr>
                <w:rFonts w:hint="eastAsia" w:ascii="宋体" w:hAnsi="宋体" w:eastAsia="宋体" w:cs="宋体"/>
                <w:bCs/>
                <w:sz w:val="24"/>
                <w:szCs w:val="24"/>
              </w:rPr>
              <w:t>仪器分析实习，课程既有理论又有实验，而且基本上每门课程对应的实验和实习都有相对应的仪器使用和操作，有必要单列？</w:t>
            </w:r>
            <w:r>
              <w:rPr>
                <w:rFonts w:hint="eastAsia" w:ascii="宋体" w:hAnsi="宋体" w:cs="宋体"/>
                <w:bCs/>
                <w:sz w:val="24"/>
                <w:szCs w:val="24"/>
                <w:lang w:eastAsia="zh-CN"/>
              </w:rPr>
              <w:t>（</w:t>
            </w:r>
            <w:r>
              <w:rPr>
                <w:rFonts w:hint="eastAsia" w:ascii="宋体" w:hAnsi="宋体" w:cs="宋体"/>
                <w:bCs/>
                <w:sz w:val="24"/>
                <w:szCs w:val="24"/>
                <w:lang w:val="en-US" w:eastAsia="zh-CN"/>
              </w:rPr>
              <w:t>2）</w:t>
            </w:r>
            <w:r>
              <w:rPr>
                <w:rFonts w:hint="eastAsia" w:ascii="宋体" w:hAnsi="宋体" w:eastAsia="宋体" w:cs="宋体"/>
                <w:bCs/>
                <w:sz w:val="24"/>
                <w:szCs w:val="24"/>
              </w:rPr>
              <w:t>土壤农化分析有对应的实验课程，还有再开实习课程的必要？</w:t>
            </w:r>
            <w:r>
              <w:rPr>
                <w:rFonts w:hint="eastAsia" w:ascii="宋体" w:hAnsi="宋体" w:cs="宋体"/>
                <w:bCs/>
                <w:sz w:val="24"/>
                <w:szCs w:val="24"/>
                <w:lang w:eastAsia="zh-CN"/>
              </w:rPr>
              <w:t>（</w:t>
            </w:r>
            <w:r>
              <w:rPr>
                <w:rFonts w:hint="eastAsia" w:ascii="宋体" w:hAnsi="宋体" w:cs="宋体"/>
                <w:bCs/>
                <w:sz w:val="24"/>
                <w:szCs w:val="24"/>
                <w:lang w:val="en-US" w:eastAsia="zh-CN"/>
              </w:rPr>
              <w:t>3）</w:t>
            </w:r>
            <w:r>
              <w:rPr>
                <w:rFonts w:hint="eastAsia" w:ascii="宋体" w:hAnsi="宋体" w:eastAsia="宋体" w:cs="宋体"/>
                <w:bCs/>
                <w:sz w:val="24"/>
                <w:szCs w:val="24"/>
              </w:rPr>
              <w:t>建议增加肥料学、废弃物资源利用两门课程的实验和实习环节，作为核心没有实践环节是难以支撑专业培养目标的。</w:t>
            </w:r>
          </w:p>
        </w:tc>
        <w:tc>
          <w:tcPr>
            <w:tcW w:w="799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722" w:hRule="atLeast"/>
        </w:trPr>
        <w:tc>
          <w:tcPr>
            <w:tcW w:w="612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cs="宋体"/>
                <w:sz w:val="24"/>
                <w:lang w:val="en-US" w:eastAsia="zh-CN"/>
              </w:rPr>
            </w:pPr>
            <w:r>
              <w:rPr>
                <w:rFonts w:hint="eastAsia" w:ascii="宋体" w:cs="宋体"/>
                <w:sz w:val="24"/>
                <w:lang w:val="en-US" w:eastAsia="zh-CN"/>
              </w:rPr>
              <w:t>5.</w:t>
            </w:r>
            <w:r>
              <w:rPr>
                <w:rFonts w:hint="eastAsia" w:ascii="宋体" w:hAnsi="宋体" w:eastAsia="宋体" w:cs="宋体"/>
                <w:bCs/>
                <w:sz w:val="24"/>
                <w:szCs w:val="24"/>
              </w:rPr>
              <w:t>课程整体设置主要还是实践环节偏弱，特别是培养目标中“能在……肥料企业……从事……肥料生产与管理”，仅仅一门肥料学课程加上植物营养，没有到肥料生产企业实习，恐怕难以支撑培养目标。</w:t>
            </w:r>
          </w:p>
        </w:tc>
        <w:tc>
          <w:tcPr>
            <w:tcW w:w="799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612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both"/>
              <w:textAlignment w:val="auto"/>
              <w:outlineLvl w:val="9"/>
              <w:rPr>
                <w:rFonts w:hint="eastAsia" w:ascii="宋体" w:cs="宋体"/>
                <w:sz w:val="24"/>
                <w:lang w:val="en-US" w:eastAsia="zh-CN"/>
              </w:rPr>
            </w:pPr>
            <w:r>
              <w:rPr>
                <w:rFonts w:hint="eastAsia" w:ascii="宋体" w:cs="宋体"/>
                <w:sz w:val="24"/>
                <w:lang w:val="en-US" w:eastAsia="zh-CN"/>
              </w:rPr>
              <w:t>6.</w:t>
            </w:r>
            <w:r>
              <w:rPr>
                <w:rFonts w:hint="eastAsia" w:ascii="宋体" w:hAnsi="宋体" w:eastAsia="宋体" w:cs="宋体"/>
                <w:bCs/>
                <w:sz w:val="24"/>
                <w:szCs w:val="24"/>
              </w:rPr>
              <w:t>没有扎实的专业技能是难以在行业立足的。建议多增加几门专业实践课程，删减部分关系不是太紧密的拓展课程，可以显著提高学生的专业技能的培养，也让学生多些选择。</w:t>
            </w:r>
          </w:p>
        </w:tc>
        <w:tc>
          <w:tcPr>
            <w:tcW w:w="799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612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cs="宋体"/>
                <w:sz w:val="24"/>
                <w:lang w:val="en-US" w:eastAsia="zh-CN"/>
              </w:rPr>
            </w:pPr>
            <w:r>
              <w:rPr>
                <w:rFonts w:hint="eastAsia" w:ascii="宋体" w:cs="宋体"/>
                <w:sz w:val="24"/>
                <w:lang w:val="en-US" w:eastAsia="zh-CN"/>
              </w:rPr>
              <w:t>7.</w:t>
            </w:r>
            <w:r>
              <w:rPr>
                <w:rFonts w:hint="eastAsia" w:ascii="宋体" w:hAnsi="宋体" w:eastAsia="宋体" w:cs="宋体"/>
                <w:sz w:val="24"/>
                <w:szCs w:val="24"/>
                <w:lang w:val="en-US" w:eastAsia="zh-CN"/>
              </w:rPr>
              <w:t>学科</w:t>
            </w:r>
            <w:r>
              <w:rPr>
                <w:rFonts w:hint="eastAsia" w:ascii="宋体" w:hAnsi="宋体" w:eastAsia="宋体" w:cs="宋体"/>
                <w:sz w:val="24"/>
                <w:szCs w:val="24"/>
              </w:rPr>
              <w:t>专业拓展应为专业选修，应结合核心课程调整来增加可选性</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学科</w:t>
            </w:r>
            <w:r>
              <w:rPr>
                <w:rFonts w:hint="eastAsia" w:ascii="宋体" w:hAnsi="宋体" w:eastAsia="宋体" w:cs="宋体"/>
                <w:sz w:val="24"/>
                <w:szCs w:val="24"/>
              </w:rPr>
              <w:t>专业拓展</w:t>
            </w:r>
            <w:r>
              <w:rPr>
                <w:rFonts w:hint="eastAsia" w:ascii="宋体" w:hAnsi="宋体" w:eastAsia="宋体" w:cs="宋体"/>
                <w:sz w:val="24"/>
                <w:szCs w:val="24"/>
                <w:lang w:eastAsia="zh-CN"/>
              </w:rPr>
              <w:t>模块至少设置</w:t>
            </w:r>
            <w:r>
              <w:rPr>
                <w:rFonts w:hint="eastAsia" w:ascii="宋体" w:hAnsi="宋体" w:eastAsia="宋体" w:cs="宋体"/>
                <w:sz w:val="24"/>
                <w:szCs w:val="24"/>
                <w:lang w:val="en-US" w:eastAsia="zh-CN"/>
              </w:rPr>
              <w:t>10学分，提供15学分以上的课程供学生选修。</w:t>
            </w:r>
          </w:p>
        </w:tc>
        <w:tc>
          <w:tcPr>
            <w:tcW w:w="799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612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宋体" w:cs="宋体"/>
                <w:sz w:val="24"/>
                <w:lang w:val="en-US" w:eastAsia="zh-CN"/>
              </w:rPr>
            </w:pPr>
            <w:r>
              <w:rPr>
                <w:rFonts w:hint="eastAsia" w:ascii="宋体" w:cs="宋体"/>
                <w:sz w:val="24"/>
                <w:lang w:val="en-US" w:eastAsia="zh-CN"/>
              </w:rPr>
              <w:t>8.</w:t>
            </w:r>
            <w:r>
              <w:rPr>
                <w:rFonts w:hint="eastAsia" w:ascii="宋体" w:hAnsi="宋体" w:eastAsia="宋体" w:cs="宋体"/>
                <w:sz w:val="24"/>
                <w:szCs w:val="24"/>
              </w:rPr>
              <w:t>学科专业拓展课的考核方式大多为“考查”，依据是什么？要求太低</w:t>
            </w:r>
            <w:r>
              <w:rPr>
                <w:rFonts w:hint="eastAsia" w:ascii="宋体" w:hAnsi="宋体" w:eastAsia="宋体" w:cs="宋体"/>
                <w:sz w:val="24"/>
                <w:szCs w:val="24"/>
                <w:lang w:eastAsia="zh-CN"/>
              </w:rPr>
              <w:t>。</w:t>
            </w:r>
          </w:p>
        </w:tc>
        <w:tc>
          <w:tcPr>
            <w:tcW w:w="799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612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宋体" w:cs="宋体"/>
                <w:sz w:val="24"/>
                <w:lang w:val="en-US" w:eastAsia="zh-CN"/>
              </w:rPr>
            </w:pPr>
            <w:r>
              <w:rPr>
                <w:rFonts w:hint="eastAsia" w:ascii="宋体" w:cs="宋体"/>
                <w:sz w:val="24"/>
                <w:lang w:val="en-US" w:eastAsia="zh-CN"/>
              </w:rPr>
              <w:t>9.</w:t>
            </w:r>
            <w:r>
              <w:rPr>
                <w:rFonts w:hint="eastAsia" w:ascii="宋体" w:hAnsi="宋体" w:cs="宋体"/>
                <w:sz w:val="24"/>
              </w:rPr>
              <w:t>涉海特色课程的设置</w:t>
            </w:r>
            <w:r>
              <w:rPr>
                <w:rFonts w:hint="eastAsia" w:ascii="宋体" w:hAnsi="宋体" w:cs="宋体"/>
                <w:sz w:val="24"/>
                <w:lang w:eastAsia="zh-CN"/>
              </w:rPr>
              <w:t>？</w:t>
            </w:r>
          </w:p>
        </w:tc>
        <w:tc>
          <w:tcPr>
            <w:tcW w:w="799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bl>
    <w:p>
      <w:pPr>
        <w:jc w:val="center"/>
      </w:pPr>
      <w:r>
        <w:rPr>
          <w:rFonts w:hint="eastAsia" w:ascii="宋体" w:hAnsi="宋体"/>
          <w:bCs/>
          <w:sz w:val="24"/>
        </w:rPr>
        <w:t>执笔人：</w:t>
      </w:r>
      <w:r>
        <w:rPr>
          <w:rFonts w:ascii="宋体" w:hAnsi="宋体"/>
          <w:bCs/>
          <w:sz w:val="24"/>
        </w:rPr>
        <w:t xml:space="preserve">                             </w:t>
      </w:r>
      <w:r>
        <w:rPr>
          <w:rFonts w:hint="eastAsia" w:ascii="宋体" w:hAnsi="宋体"/>
          <w:bCs/>
          <w:sz w:val="24"/>
          <w:lang w:val="en-US" w:eastAsia="zh-CN"/>
        </w:rPr>
        <w:t xml:space="preserve">                         </w:t>
      </w:r>
      <w:r>
        <w:rPr>
          <w:rFonts w:hint="eastAsia" w:ascii="宋体" w:hAnsi="宋体"/>
          <w:bCs/>
          <w:sz w:val="24"/>
        </w:rPr>
        <w:t>时间：</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年</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月</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日</w:t>
      </w:r>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A97586"/>
    <w:rsid w:val="010E3A83"/>
    <w:rsid w:val="02904C2C"/>
    <w:rsid w:val="04FC668C"/>
    <w:rsid w:val="05F74CC4"/>
    <w:rsid w:val="0EA86D90"/>
    <w:rsid w:val="12DB5170"/>
    <w:rsid w:val="1F102702"/>
    <w:rsid w:val="1F531856"/>
    <w:rsid w:val="23C55634"/>
    <w:rsid w:val="26F03870"/>
    <w:rsid w:val="281813C0"/>
    <w:rsid w:val="28A97586"/>
    <w:rsid w:val="397850F1"/>
    <w:rsid w:val="3FC10002"/>
    <w:rsid w:val="45351B7E"/>
    <w:rsid w:val="467961A3"/>
    <w:rsid w:val="4FEA5D25"/>
    <w:rsid w:val="537A24F9"/>
    <w:rsid w:val="64CE1212"/>
    <w:rsid w:val="68986ACC"/>
    <w:rsid w:val="6D8C4FF2"/>
    <w:rsid w:val="6D8F7158"/>
    <w:rsid w:val="70003FC3"/>
    <w:rsid w:val="72552A18"/>
    <w:rsid w:val="73E61B44"/>
    <w:rsid w:val="7756093E"/>
    <w:rsid w:val="7790026F"/>
    <w:rsid w:val="7CAC5E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2017-12-21T13:46:00Z</dcterms:created>
  <dc:creator>Administrator</dc:creator>
  <cp:lastModifiedBy>Administrator</cp:lastModifiedBy>
  <cp:lastPrinted>2017-12-22T00:08:00Z</cp:lastPrinted>
  <dcterms:modified xsi:type="dcterms:W3CDTF">2017-12-24T05:42:40Z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