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81"/>
      <w:bookmarkStart w:id="1" w:name="_Toc496194224"/>
      <w:r>
        <w:rPr>
          <w:rFonts w:ascii="宋体" w:hAnsi="宋体" w:eastAsia="宋体" w:cs="宋体"/>
        </w:rPr>
        <w:t>制药工程专业人才培养方案</w:t>
      </w:r>
      <w:bookmarkEnd w:id="0"/>
      <w:bookmarkEnd w:id="1"/>
    </w:p>
    <w:p>
      <w:pPr>
        <w:spacing w:line="380" w:lineRule="exact"/>
        <w:jc w:val="center"/>
        <w:rPr>
          <w:b/>
          <w:sz w:val="24"/>
        </w:rPr>
      </w:pPr>
    </w:p>
    <w:p>
      <w:pPr>
        <w:spacing w:line="380" w:lineRule="exact"/>
        <w:jc w:val="center"/>
        <w:rPr>
          <w:b/>
          <w:sz w:val="24"/>
        </w:rPr>
      </w:pPr>
      <w:r>
        <w:rPr>
          <w:b/>
          <w:sz w:val="24"/>
        </w:rPr>
        <w:t xml:space="preserve">专业代码：081302 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学科门</w:t>
      </w:r>
      <w:r>
        <w:rPr>
          <w:b/>
          <w:sz w:val="24"/>
        </w:rPr>
        <w:t>类：</w:t>
      </w:r>
      <w:r>
        <w:rPr>
          <w:rFonts w:hint="eastAsia"/>
          <w:b/>
          <w:sz w:val="24"/>
        </w:rPr>
        <w:t>工学</w:t>
      </w:r>
      <w:r>
        <w:rPr>
          <w:b/>
          <w:sz w:val="24"/>
        </w:rPr>
        <w:t xml:space="preserve">  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numPr>
          <w:ilvl w:val="0"/>
          <w:numId w:val="1"/>
        </w:numPr>
        <w:spacing w:line="380" w:lineRule="exact"/>
        <w:ind w:firstLine="422" w:firstLineChars="200"/>
        <w:rPr>
          <w:b/>
        </w:rPr>
      </w:pPr>
      <w:r>
        <w:rPr>
          <w:b/>
        </w:rPr>
        <w:t>专业培养目标</w:t>
      </w:r>
    </w:p>
    <w:p>
      <w:pPr>
        <w:spacing w:line="380" w:lineRule="exact"/>
        <w:ind w:firstLine="420" w:firstLineChars="200"/>
        <w:rPr>
          <w:b/>
        </w:rPr>
      </w:pPr>
      <w:r>
        <w:t>本专业培养适应社会主义现代化建设需要、德智体美全面发展，具备</w:t>
      </w:r>
      <w:r>
        <w:rPr>
          <w:kern w:val="0"/>
        </w:rPr>
        <w:t>综合素质高、实践和创新能力强，</w:t>
      </w:r>
      <w:r>
        <w:t>从事药物生产技术与管理、药物分析与检验、品质控制、产品开发、科学研究、工程设计等方面的药物工程学科的应用型高级专门人才。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b/>
        </w:rPr>
        <w:t>二、毕业要求</w:t>
      </w:r>
    </w:p>
    <w:p>
      <w:pPr>
        <w:pStyle w:val="4"/>
        <w:spacing w:line="380" w:lineRule="exact"/>
        <w:ind w:firstLine="420" w:firstLineChars="200"/>
        <w:rPr>
          <w:sz w:val="21"/>
        </w:rPr>
      </w:pPr>
      <w:r>
        <w:rPr>
          <w:sz w:val="21"/>
        </w:rPr>
        <w:t>通过在校学习，学生应受到良好的政治思想、道德品质、文化修养和身心素质的教育。毕业生应具备以下几个方面的知识和能力：</w:t>
      </w:r>
    </w:p>
    <w:p>
      <w:pPr>
        <w:spacing w:line="380" w:lineRule="exact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1</w:t>
      </w:r>
      <w:r>
        <w:rPr>
          <w:szCs w:val="21"/>
        </w:rPr>
        <w:t>．</w:t>
      </w:r>
      <w:r>
        <w:rPr>
          <w:rFonts w:eastAsia="新宋体"/>
          <w:szCs w:val="21"/>
        </w:rPr>
        <w:t>掌握化学制药、生物制药、中药制药、药物制剂技术与工程、药物分析与鉴定的基本理论、基本知识；掌握药物生产装置工艺与设备设计方法；</w:t>
      </w:r>
    </w:p>
    <w:p>
      <w:pPr>
        <w:spacing w:line="380" w:lineRule="exact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2</w:t>
      </w:r>
      <w:r>
        <w:rPr>
          <w:szCs w:val="21"/>
        </w:rPr>
        <w:t>．</w:t>
      </w:r>
      <w:r>
        <w:rPr>
          <w:rFonts w:eastAsia="新宋体"/>
          <w:szCs w:val="21"/>
        </w:rPr>
        <w:t>具有对药品新资源、新产品、新工艺进行研究、开发和设计的初步能力；具有创新意识和独立获取新知识的能力；</w:t>
      </w:r>
    </w:p>
    <w:p>
      <w:pPr>
        <w:spacing w:line="380" w:lineRule="exact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3</w:t>
      </w:r>
      <w:r>
        <w:rPr>
          <w:szCs w:val="21"/>
        </w:rPr>
        <w:t>．</w:t>
      </w:r>
      <w:r>
        <w:rPr>
          <w:rFonts w:eastAsia="新宋体"/>
          <w:szCs w:val="21"/>
        </w:rPr>
        <w:t>熟悉国家关于化工与制药生产、设计、研究与开发、环境保护</w:t>
      </w:r>
      <w:r>
        <w:rPr>
          <w:rFonts w:hint="eastAsia" w:eastAsia="新宋体"/>
          <w:szCs w:val="21"/>
        </w:rPr>
        <w:t>与安全</w:t>
      </w:r>
      <w:r>
        <w:rPr>
          <w:rFonts w:eastAsia="新宋体"/>
          <w:szCs w:val="21"/>
        </w:rPr>
        <w:t>、药物质量控制与监管等方面的方针、政策和法规；</w:t>
      </w:r>
    </w:p>
    <w:p>
      <w:pPr>
        <w:spacing w:line="380" w:lineRule="exact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4</w:t>
      </w:r>
      <w:r>
        <w:rPr>
          <w:szCs w:val="21"/>
        </w:rPr>
        <w:t>．</w:t>
      </w:r>
      <w:r>
        <w:rPr>
          <w:rFonts w:eastAsia="新宋体"/>
          <w:szCs w:val="21"/>
        </w:rPr>
        <w:t>了解制药工程与制剂、药物分析方法的理论前沿，了解新工艺、新技术与新设备、药物质量监控发展动态；</w:t>
      </w:r>
    </w:p>
    <w:p>
      <w:pPr>
        <w:spacing w:line="380" w:lineRule="exact"/>
        <w:ind w:firstLine="420" w:firstLineChars="200"/>
        <w:rPr>
          <w:rFonts w:eastAsia="新宋体"/>
          <w:szCs w:val="21"/>
        </w:rPr>
      </w:pPr>
      <w:r>
        <w:rPr>
          <w:rFonts w:eastAsia="新宋体"/>
          <w:szCs w:val="21"/>
        </w:rPr>
        <w:t>5</w:t>
      </w:r>
      <w:r>
        <w:rPr>
          <w:szCs w:val="21"/>
        </w:rPr>
        <w:t>．</w:t>
      </w:r>
      <w:r>
        <w:t>具有较强的计算机应用能力；掌握一门外国语，能较顺利地阅读本专业外文书刊，具有听、说、写的基础；</w:t>
      </w:r>
    </w:p>
    <w:p>
      <w:pPr>
        <w:spacing w:line="380" w:lineRule="exact"/>
        <w:ind w:firstLine="420" w:firstLineChars="200"/>
      </w:pPr>
      <w:r>
        <w:t>6．有一定的体育和军事方面的知识，积极参加体育锻炼，身体健康，达到大学生体质健康标准；</w:t>
      </w:r>
    </w:p>
    <w:p>
      <w:pPr>
        <w:pStyle w:val="4"/>
        <w:spacing w:line="380" w:lineRule="exact"/>
        <w:ind w:firstLine="420" w:firstLineChars="200"/>
      </w:pPr>
      <w:r>
        <w:rPr>
          <w:sz w:val="21"/>
        </w:rPr>
        <w:t>7．有正确的审美观和一定的文学、艺术欣赏水平。</w:t>
      </w:r>
      <w:r>
        <w:t xml:space="preserve"> </w:t>
      </w:r>
    </w:p>
    <w:p>
      <w:pPr>
        <w:spacing w:line="380" w:lineRule="exact"/>
        <w:ind w:firstLine="422" w:firstLineChars="200"/>
        <w:rPr>
          <w:b/>
        </w:rPr>
      </w:pPr>
      <w:r>
        <w:rPr>
          <w:b/>
        </w:rPr>
        <w:t>三、培养目标（标准）、毕业要求与课程体系关系表</w:t>
      </w:r>
    </w:p>
    <w:p>
      <w:pPr>
        <w:spacing w:line="380" w:lineRule="exact"/>
        <w:ind w:firstLine="420" w:firstLineChars="200"/>
        <w:rPr>
          <w:color w:val="FF0000"/>
          <w:kern w:val="0"/>
          <w:szCs w:val="20"/>
        </w:rPr>
      </w:pPr>
      <w:r>
        <w:rPr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毕业要求是课程体系构建的依据，课程体系是达成毕业要求的支撑，通过毕业要求的逐级分解，将相关要求落实于每一课程（模块、环节等）。培养目标（标准）、毕业要求与课程体系关系表</w:t>
      </w:r>
      <w:r>
        <w:rPr>
          <w:rFonts w:hint="eastAsia"/>
          <w:kern w:val="0"/>
          <w:szCs w:val="20"/>
        </w:rPr>
        <w:t>如下：</w:t>
      </w:r>
    </w:p>
    <w:tbl>
      <w:tblPr>
        <w:tblStyle w:val="15"/>
        <w:tblW w:w="8816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68"/>
        <w:gridCol w:w="1377"/>
        <w:gridCol w:w="2643"/>
        <w:gridCol w:w="31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4" w:hRule="exact"/>
          <w:tblHeader/>
          <w:tblCellSpacing w:w="0" w:type="dxa"/>
          <w:jc w:val="center"/>
        </w:trPr>
        <w:tc>
          <w:tcPr>
            <w:tcW w:w="166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培养目标（标准）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毕业要求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指标点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8" w:hRule="exact"/>
          <w:tblCellSpacing w:w="0" w:type="dxa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360" w:firstLineChars="20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毕业要求1：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1-1 掌握化学制药、生物制药、中药制药的基本理论、基本知识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无机化学及分析化学、有机化学、物理化学、生物化学、化工制图、生药学、制药工艺学、生物制药学、中医学基础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1-2 掌握药物制剂技术与工程的基本理论、基本知识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药剂学、药用高分子材料、制药工艺学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3" w:hRule="exact"/>
          <w:tblCellSpacing w:w="0" w:type="dxa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380" w:lineRule="exact"/>
              <w:ind w:firstLine="360" w:firstLineChars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本专业培养适应社会主义现代化建设需要、德智体美全面发展，具备综合素质高、实践和创新能力强，从事药物生产技术与管理、药物分析与检验、品质控制、产品开发、科学研究、工程设计等方面的药物工程学科的应用型高级专门人才。</w:t>
            </w: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1-3 掌握药物分析与鉴定的基本理论、基本知识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仪器分析、药物分析、药物化学、波谱分析、天然药物化学、生物药物分析、中药制剂分析、样品前处理与化妆品分析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1-4 掌握药物生产装置、工艺与设备设计方法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化工原理、化工制图、药厂设备及车间设计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4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毕业要求2：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2-1 具有对药品新资源进行研发与设计的初步能力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药物合成化学、天然药物化学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2-2 具备对药品新产品进行研发与设计的初步能力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药物合成化学、精细合成化学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5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2-3 能够对药品新工艺进行研发与设计的初步能力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制药工艺学、精细化工工艺学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9" w:hRule="exac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2-4 具有创新意识和独立获取新知识的能力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学科专业实验、科研设计与论文写作、课程综合实践、毕业实习、毕业论文（设计）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毕业要求3：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3-1 熟悉国家关于化工与制药生产的方针、政策与法规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药品营销概论、药事管理与法规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3-2 熟悉国家关于化工与制药设计、研究与开发的方针、政策与法规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药物合成化学、天然药物化学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3-3 熟悉国家关于化工与制药环境保护与安全的方针、政策与法规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药事管理与法规、化工安全与环境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3-4 熟悉国家关于药物质量控制与监管的方针、政策与法规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药事管理与法规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毕业要求4：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4-1 了解制药工程与制剂的理论前沿，了解新工艺、新技术与新设备发展动态，药物分析方法的理论前沿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专业文献检索及科研设计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毕业要求5：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5-1 具有较强的计算机应用能力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C语言程序设计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5-2 掌握一门外语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大学外语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5-3 能够较顺利地阅读本专业外文书刊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制药工程专业外语、专业文献检索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5-4 具备外语的听、说、写基础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大学外语读写、听说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毕业要求6：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6-1 具有一定的军事理论知识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军事理论及训练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6-2 培养吃苦精神、守纪精神、团队协作精神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军事训练、志愿者服务活动，生产与毕业实习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6-3 推广毕业生创业经验、开展创业教育、培养学生创业能力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大学生职业发展与就业指导、创新创业教育、制药工程专业导论、毕业教育、专业创新创业综合实践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6-4 积极参加体育锻炼、身体健康、体质达到大学生健康标准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体育、青年学生健康教育、大学生心理健康教育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毕业要求7：</w:t>
            </w: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7-1 拥有正确的审美观、人生观、世界观、价值观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入学教育、思想道德修养与法律基础、马克思主义基本原理、毛泽东思想和中国特色社会主义理论体系概论、形势与政策教育、社会调查与思想政治课社会实践、毕业教育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" w:hRule="atLeast"/>
          <w:tblCellSpacing w:w="0" w:type="dxa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643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7-2 具备一定的历史文化知识、文学与艺术欣赏能力</w:t>
            </w:r>
          </w:p>
        </w:tc>
        <w:tc>
          <w:tcPr>
            <w:tcW w:w="3128" w:type="dxa"/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中国近现代史纲要、文体艺术综合素质实践</w:t>
            </w:r>
          </w:p>
        </w:tc>
      </w:tr>
    </w:tbl>
    <w:p>
      <w:pPr>
        <w:pStyle w:val="4"/>
        <w:spacing w:beforeLines="50" w:line="340" w:lineRule="exact"/>
        <w:ind w:firstLine="361" w:firstLineChars="200"/>
        <w:rPr>
          <w:rFonts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 xml:space="preserve">四、主干学科： </w:t>
      </w:r>
      <w:r>
        <w:rPr>
          <w:rFonts w:hint="eastAsia" w:ascii="宋体" w:hAnsi="宋体" w:eastAsia="宋体" w:cs="宋体"/>
          <w:sz w:val="18"/>
          <w:szCs w:val="18"/>
        </w:rPr>
        <w:t>化学、药学、化学工程与技术。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kern w:val="2"/>
          <w:sz w:val="18"/>
          <w:szCs w:val="18"/>
        </w:rPr>
        <w:t>五、专业核心课程：</w:t>
      </w:r>
      <w:r>
        <w:rPr>
          <w:rFonts w:hint="eastAsia" w:ascii="宋体" w:hAnsi="宋体" w:eastAsia="宋体" w:cs="宋体"/>
          <w:sz w:val="18"/>
          <w:szCs w:val="18"/>
        </w:rPr>
        <w:t>无机及分析化学、有机化学、物理化学、化工原理、化工制图、仪器分析、药物分析、药物化学、天然药物化学、制药工艺学、药剂学、药理与毒理学。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kern w:val="2"/>
          <w:sz w:val="18"/>
          <w:szCs w:val="18"/>
        </w:rPr>
        <w:t>六、主要实践性教学环节：</w:t>
      </w:r>
      <w:r>
        <w:rPr>
          <w:rFonts w:hint="eastAsia" w:ascii="宋体" w:hAnsi="宋体" w:eastAsia="宋体" w:cs="宋体"/>
          <w:kern w:val="2"/>
          <w:sz w:val="18"/>
          <w:szCs w:val="18"/>
        </w:rPr>
        <w:t>课程实习、生产实习、毕业实习和毕业论文</w:t>
      </w:r>
      <w:r>
        <w:rPr>
          <w:rFonts w:hint="eastAsia" w:ascii="宋体" w:hAnsi="宋体" w:eastAsia="宋体" w:cs="宋体"/>
          <w:sz w:val="18"/>
          <w:szCs w:val="18"/>
        </w:rPr>
        <w:t>。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七、主要专业实验：</w:t>
      </w:r>
      <w:r>
        <w:rPr>
          <w:rFonts w:hint="eastAsia" w:ascii="宋体" w:hAnsi="宋体" w:eastAsia="宋体" w:cs="宋体"/>
          <w:sz w:val="18"/>
          <w:szCs w:val="18"/>
        </w:rPr>
        <w:t>专业核心课程实验1-2（包括仪器分析实验、药物化学实验、化工原理实验、药物分析实验）药物合成实验、生物药物与中药制剂分析实验、生药学实验、学科专业实验。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八、教学计划安排</w:t>
      </w:r>
    </w:p>
    <w:p>
      <w:pPr>
        <w:pStyle w:val="4"/>
        <w:spacing w:line="340" w:lineRule="exact"/>
        <w:ind w:firstLine="360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1．教学日历：(见附表一)</w:t>
      </w:r>
    </w:p>
    <w:p>
      <w:pPr>
        <w:pStyle w:val="4"/>
        <w:spacing w:line="340" w:lineRule="exact"/>
        <w:ind w:firstLine="360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2．各学年教学活动时间安排：(见附表二)</w:t>
      </w:r>
    </w:p>
    <w:p>
      <w:pPr>
        <w:pStyle w:val="4"/>
        <w:spacing w:line="340" w:lineRule="exact"/>
        <w:ind w:firstLine="360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3．课程设置和安排：(见附表三、四)</w:t>
      </w:r>
    </w:p>
    <w:p>
      <w:pPr>
        <w:pStyle w:val="4"/>
        <w:spacing w:line="340" w:lineRule="exact"/>
        <w:ind w:firstLine="360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4．综合实践性教学环节安排： (见附表五)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九、学制：</w:t>
      </w:r>
      <w:r>
        <w:rPr>
          <w:rFonts w:hint="eastAsia" w:ascii="宋体" w:hAnsi="宋体" w:eastAsia="宋体" w:cs="宋体"/>
          <w:sz w:val="18"/>
          <w:szCs w:val="18"/>
        </w:rPr>
        <w:t>基本学制4年。实行弹性修业年限，学习期限3-8年。</w:t>
      </w:r>
    </w:p>
    <w:p>
      <w:pPr>
        <w:pStyle w:val="4"/>
        <w:spacing w:line="340" w:lineRule="exact"/>
        <w:ind w:firstLine="361" w:firstLineChars="200"/>
        <w:rPr>
          <w:rFonts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十、毕业及授予学士学位学分要求</w:t>
      </w:r>
    </w:p>
    <w:p>
      <w:pPr>
        <w:pStyle w:val="4"/>
        <w:spacing w:line="340" w:lineRule="exact"/>
        <w:ind w:firstLine="360" w:firstLineChars="200"/>
        <w:rPr>
          <w:rFonts w:ascii="宋体" w:hAnsi="宋体" w:eastAsia="宋体" w:cs="宋体"/>
          <w:bCs/>
          <w:sz w:val="18"/>
          <w:szCs w:val="18"/>
        </w:rPr>
      </w:pPr>
      <w:r>
        <w:rPr>
          <w:rFonts w:hint="eastAsia" w:ascii="宋体" w:hAnsi="宋体" w:eastAsia="宋体" w:cs="宋体"/>
          <w:bCs/>
          <w:sz w:val="18"/>
          <w:szCs w:val="18"/>
        </w:rPr>
        <w:t>总学分：160学分。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340" w:lineRule="exact"/>
        <w:ind w:firstLine="360" w:firstLineChars="200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18"/>
          <w:szCs w:val="18"/>
        </w:rPr>
        <w:t>学分与学时分配比例见下表：</w:t>
      </w:r>
    </w:p>
    <w:tbl>
      <w:tblPr>
        <w:tblStyle w:val="15"/>
        <w:tblW w:w="886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027"/>
        <w:gridCol w:w="744"/>
        <w:gridCol w:w="1084"/>
        <w:gridCol w:w="1476"/>
        <w:gridCol w:w="1080"/>
        <w:gridCol w:w="182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3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类      别</w:t>
            </w:r>
          </w:p>
        </w:tc>
        <w:tc>
          <w:tcPr>
            <w:tcW w:w="108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学分数</w:t>
            </w:r>
          </w:p>
        </w:tc>
        <w:tc>
          <w:tcPr>
            <w:tcW w:w="147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学分比（%）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eastAsia="仿宋_GB2312"/>
                <w:b/>
                <w:sz w:val="18"/>
                <w:szCs w:val="18"/>
              </w:rPr>
              <w:t>学时数</w:t>
            </w:r>
          </w:p>
        </w:tc>
        <w:tc>
          <w:tcPr>
            <w:tcW w:w="182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实验实践学时</w:t>
            </w:r>
          </w:p>
          <w:p>
            <w:pPr>
              <w:jc w:val="center"/>
              <w:rPr>
                <w:rFonts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62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论</w:t>
            </w:r>
            <w:r>
              <w:rPr>
                <w:rFonts w:hint="eastAsia" w:eastAsia="仿宋_GB2312"/>
                <w:sz w:val="18"/>
                <w:szCs w:val="18"/>
              </w:rPr>
              <w:t>与实验</w:t>
            </w:r>
          </w:p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</w:t>
            </w:r>
          </w:p>
        </w:tc>
        <w:tc>
          <w:tcPr>
            <w:tcW w:w="2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eastAsia="仿宋_GB2312"/>
              </w:rPr>
            </w:pPr>
            <w:r>
              <w:rPr>
                <w:rFonts w:eastAsia="仿宋_GB2312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必修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46</w:t>
            </w:r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28.8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846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eastAsia="仿宋_GB2312"/>
                <w:bCs/>
              </w:rPr>
            </w:pPr>
            <w:r>
              <w:rPr>
                <w:rFonts w:eastAsia="仿宋_GB2312"/>
                <w:bCs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必修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12</w:t>
            </w:r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7.5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192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必修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41</w:t>
            </w:r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25.6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776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选</w:t>
            </w:r>
            <w:r>
              <w:rPr>
                <w:rFonts w:eastAsia="仿宋_GB2312"/>
                <w:sz w:val="18"/>
                <w:szCs w:val="18"/>
              </w:rPr>
              <w:t>修</w:t>
            </w:r>
          </w:p>
        </w:tc>
        <w:tc>
          <w:tcPr>
            <w:tcW w:w="10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14</w:t>
            </w:r>
          </w:p>
        </w:tc>
        <w:tc>
          <w:tcPr>
            <w:tcW w:w="14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8.7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248</w:t>
            </w:r>
          </w:p>
        </w:tc>
        <w:tc>
          <w:tcPr>
            <w:tcW w:w="182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选修</w:t>
            </w:r>
          </w:p>
        </w:tc>
        <w:tc>
          <w:tcPr>
            <w:tcW w:w="108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12.5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320</w:t>
            </w:r>
          </w:p>
        </w:tc>
        <w:tc>
          <w:tcPr>
            <w:tcW w:w="182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小    计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133</w:t>
            </w:r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83.1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2382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384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实践教学</w:t>
            </w:r>
          </w:p>
        </w:tc>
        <w:tc>
          <w:tcPr>
            <w:tcW w:w="202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通识实践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必修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2.5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11周</w:t>
            </w:r>
          </w:p>
        </w:tc>
        <w:tc>
          <w:tcPr>
            <w:tcW w:w="1827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0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专业综合实践</w:t>
            </w:r>
          </w:p>
        </w:tc>
        <w:tc>
          <w:tcPr>
            <w:tcW w:w="744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必修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</w:t>
            </w:r>
            <w:r>
              <w:rPr>
                <w:rFonts w:hint="eastAsia" w:eastAsia="仿宋_GB2312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14.4</w:t>
            </w:r>
          </w:p>
        </w:tc>
        <w:tc>
          <w:tcPr>
            <w:tcW w:w="1080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33周</w:t>
            </w:r>
          </w:p>
        </w:tc>
        <w:tc>
          <w:tcPr>
            <w:tcW w:w="1827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2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771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小    计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27</w:t>
            </w:r>
          </w:p>
        </w:tc>
        <w:tc>
          <w:tcPr>
            <w:tcW w:w="14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16.9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44周</w:t>
            </w:r>
          </w:p>
        </w:tc>
        <w:tc>
          <w:tcPr>
            <w:tcW w:w="182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880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395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合        计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160</w:t>
            </w:r>
          </w:p>
        </w:tc>
        <w:tc>
          <w:tcPr>
            <w:tcW w:w="147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100.0</w:t>
            </w:r>
          </w:p>
        </w:tc>
        <w:tc>
          <w:tcPr>
            <w:tcW w:w="10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3262</w:t>
            </w:r>
          </w:p>
        </w:tc>
        <w:tc>
          <w:tcPr>
            <w:tcW w:w="1827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</w:rPr>
            </w:pPr>
            <w:r>
              <w:rPr>
                <w:rFonts w:hint="eastAsia" w:eastAsia="仿宋_GB2312"/>
              </w:rPr>
              <w:t>1264（38.7%）</w:t>
            </w:r>
          </w:p>
        </w:tc>
      </w:tr>
    </w:tbl>
    <w:p>
      <w:pPr>
        <w:pStyle w:val="4"/>
        <w:spacing w:line="32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pStyle w:val="4"/>
        <w:spacing w:line="540" w:lineRule="exact"/>
        <w:ind w:firstLine="0"/>
        <w:jc w:val="center"/>
        <w:rPr>
          <w:rFonts w:ascii="宋体" w:hAnsi="宋体" w:eastAsia="宋体" w:cs="宋体"/>
          <w:spacing w:val="20"/>
          <w:sz w:val="32"/>
          <w:szCs w:val="32"/>
        </w:rPr>
      </w:pPr>
      <w:r>
        <w:rPr>
          <w:rFonts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spacing w:val="20"/>
          <w:sz w:val="32"/>
          <w:szCs w:val="32"/>
        </w:rPr>
        <w:t>制药工程专业教学计划安排</w:t>
      </w:r>
    </w:p>
    <w:p>
      <w:pPr>
        <w:spacing w:line="240" w:lineRule="exact"/>
        <w:jc w:val="center"/>
        <w:rPr>
          <w:b/>
          <w:spacing w:val="20"/>
          <w:sz w:val="24"/>
        </w:rPr>
      </w:pPr>
      <w:r>
        <w:rPr>
          <w:sz w:val="16"/>
        </w:rPr>
        <w:pict>
          <v:group id="组合 26" o:spid="_x0000_s1043" o:spt="203" style="position:absolute;left:0pt;margin-left:234pt;margin-top:-64pt;height:7.8pt;width:18pt;z-index:251661312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ozZfV2wAAAA0BAAAPAAAAAAAAAAEAIAAAACIAAABkcnMvZG93bnJl&#10;di54bWxQSwECFAAUAAAACACHTuJAGT/iTDMCAADCBQAADgAAAAAAAAABACAAAAAqAQAAZHJzL2Uy&#10;b0RvYy54bWxQSwUGAAAAAAYABgBZAQAAzwUAAAAA&#10;">
            <o:lock v:ext="edit"/>
            <v:shape id="文本框 27" o:spid="_x0000_s1045" o:spt="202" type="#_x0000_t202" style="position:absolute;left:321;top:42;height:22;width:13;" filled="f" stroked="f" coordsize="21600,21600" o:gfxdata="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WwZqugAAANw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28" o:spid="_x0000_s1044" o:spt="202" type="#_x0000_t202" style="position:absolute;left:331;top:48;height:19;width:14;" filled="f" stroked="f" coordsize="21600,21600" o:gfxdata="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ej8b4A&#10;AADcAAAADwAAAAAAAAABACAAAAAiAAAAZHJzL2Rvd25yZXYueG1sUEsBAhQAFAAAAAgAh07iQDMv&#10;BZ47AAAAOQAAABAAAAAAAAAAAQAgAAAADQEAAGRycy9zaGFwZXhtbC54bWxQSwUGAAAAAAYABgBb&#10;AQAAtwMAAAAA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sz w:val="16"/>
        </w:rPr>
      </w:pPr>
      <w:r>
        <w:rPr>
          <w:b/>
          <w:spacing w:val="20"/>
          <w:sz w:val="24"/>
        </w:rPr>
        <w:t>附表一、教学日历  （2017级）</w:t>
      </w:r>
      <w:bookmarkStart w:id="2" w:name="_1552564173"/>
      <w:bookmarkEnd w:id="2"/>
      <w:r>
        <w:rPr>
          <w:color w:val="FF0000"/>
          <w:sz w:val="16"/>
        </w:rPr>
        <w:drawing>
          <wp:inline distT="0" distB="0" distL="0" distR="0">
            <wp:extent cx="5920740" cy="241109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31750</wp:posOffset>
            </wp:positionV>
            <wp:extent cx="5881370" cy="1807845"/>
            <wp:effectExtent l="0" t="0" r="1270" b="5715"/>
            <wp:wrapNone/>
            <wp:docPr id="27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1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81370" cy="1807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</w:t>
      </w:r>
      <w:r>
        <w:t>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</w:t>
      </w:r>
      <w:r>
        <w:t>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</w:t>
      </w:r>
      <w:r>
        <w:t>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</w:t>
      </w:r>
      <w:r>
        <w:t>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</w:t>
      </w:r>
      <w:r>
        <w:t>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  <w:r>
        <w:rPr>
          <w:b/>
          <w:spacing w:val="8"/>
          <w:sz w:val="24"/>
        </w:rPr>
        <w:t>附表三、制药工程</w:t>
      </w:r>
      <w:r>
        <w:rPr>
          <w:rFonts w:hint="eastAsia"/>
          <w:b/>
          <w:spacing w:val="8"/>
          <w:sz w:val="24"/>
        </w:rPr>
        <w:t>专业</w:t>
      </w:r>
      <w:r>
        <w:rPr>
          <w:b/>
          <w:spacing w:val="8"/>
          <w:sz w:val="24"/>
        </w:rPr>
        <w:t>通识理论教育课程设置</w:t>
      </w:r>
      <w:r>
        <w:rPr>
          <w:rFonts w:hint="eastAsia"/>
          <w:b/>
          <w:spacing w:val="8"/>
          <w:sz w:val="24"/>
        </w:rPr>
        <w:t>（一）</w:t>
      </w:r>
    </w:p>
    <w:tbl>
      <w:tblPr>
        <w:tblStyle w:val="15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669"/>
        <w:gridCol w:w="411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6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846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103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7000000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19221102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高等数学Ⅱ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Higher MathematicsⅡ</w:t>
            </w:r>
          </w:p>
        </w:tc>
        <w:tc>
          <w:tcPr>
            <w:tcW w:w="540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48+56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1922130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概率论与数理统计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 and  Statistics</w:t>
            </w:r>
          </w:p>
        </w:tc>
        <w:tc>
          <w:tcPr>
            <w:tcW w:w="540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846</w:t>
            </w:r>
          </w:p>
        </w:tc>
        <w:tc>
          <w:tcPr>
            <w:tcW w:w="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</w:t>
      </w:r>
      <w:r>
        <w:rPr>
          <w:b/>
          <w:spacing w:val="8"/>
          <w:sz w:val="24"/>
        </w:rPr>
        <w:t>制药工程</w:t>
      </w:r>
      <w:r>
        <w:rPr>
          <w:rFonts w:hint="eastAsia"/>
          <w:b/>
          <w:spacing w:val="8"/>
          <w:sz w:val="24"/>
        </w:rPr>
        <w:t>专业通识理论教育课程设置（二）</w:t>
      </w:r>
    </w:p>
    <w:tbl>
      <w:tblPr>
        <w:tblStyle w:val="15"/>
        <w:tblW w:w="9744" w:type="dxa"/>
        <w:tblInd w:w="-6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188"/>
        <w:gridCol w:w="3137"/>
        <w:gridCol w:w="540"/>
        <w:gridCol w:w="669"/>
        <w:gridCol w:w="493"/>
        <w:gridCol w:w="756"/>
        <w:gridCol w:w="782"/>
        <w:gridCol w:w="720"/>
        <w:gridCol w:w="8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4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1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69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3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82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11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19121103</w:t>
            </w:r>
          </w:p>
        </w:tc>
        <w:tc>
          <w:tcPr>
            <w:tcW w:w="3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大学物理Ⅲ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University PhysicsⅢ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49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12322103</w:t>
            </w:r>
          </w:p>
        </w:tc>
        <w:tc>
          <w:tcPr>
            <w:tcW w:w="3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生物化学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Biochemi</w:t>
            </w:r>
            <w:r>
              <w:rPr>
                <w:rFonts w:hint="eastAsia"/>
                <w:sz w:val="18"/>
                <w:szCs w:val="18"/>
              </w:rPr>
              <w:t>stry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19331513</w:t>
            </w:r>
          </w:p>
        </w:tc>
        <w:tc>
          <w:tcPr>
            <w:tcW w:w="3137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生药学</w:t>
            </w:r>
          </w:p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Pharmacognosy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19351726</w:t>
            </w:r>
          </w:p>
        </w:tc>
        <w:tc>
          <w:tcPr>
            <w:tcW w:w="31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中医学基础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Basis of Traditional Chinese Medicine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49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19381806</w:t>
            </w:r>
          </w:p>
        </w:tc>
        <w:tc>
          <w:tcPr>
            <w:tcW w:w="31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药品营销概论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Pharmacy Marketing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6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93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4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168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b/>
          <w:spacing w:val="8"/>
          <w:sz w:val="24"/>
        </w:rPr>
        <w:t>制药工程</w:t>
      </w:r>
      <w:r>
        <w:rPr>
          <w:rFonts w:hint="eastAsia"/>
          <w:b/>
          <w:spacing w:val="8"/>
          <w:sz w:val="24"/>
        </w:rPr>
        <w:t>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5"/>
        <w:tblW w:w="981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032"/>
        <w:gridCol w:w="2279"/>
        <w:gridCol w:w="540"/>
        <w:gridCol w:w="492"/>
        <w:gridCol w:w="528"/>
        <w:gridCol w:w="480"/>
        <w:gridCol w:w="756"/>
        <w:gridCol w:w="468"/>
        <w:gridCol w:w="105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35231608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药事管理与法规</w:t>
            </w:r>
          </w:p>
          <w:p>
            <w:pPr>
              <w:spacing w:line="220" w:lineRule="exact"/>
              <w:jc w:val="left"/>
              <w:rPr>
                <w:rFonts w:hAnsi="宋体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Administration and Discipline for Pharmacy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7/2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35231702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制药工程专业外语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Specialized English for Pharmaceutical Engineering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5/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59122201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语言程序设计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>he C programming language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9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5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46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19381429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制药工程专业导论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Introduction to Pharmaceutical Engineering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35231404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科研方法与论文写作</w:t>
            </w:r>
          </w:p>
          <w:p>
            <w:pPr>
              <w:spacing w:line="22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The Science Research Method and Academic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br w:type="page"/>
      </w:r>
      <w:r>
        <w:rPr>
          <w:b/>
          <w:spacing w:val="8"/>
          <w:sz w:val="24"/>
        </w:rPr>
        <w:t>附表四、制药工程</w:t>
      </w:r>
      <w:r>
        <w:rPr>
          <w:rFonts w:hint="eastAsia"/>
          <w:b/>
          <w:spacing w:val="8"/>
          <w:sz w:val="24"/>
        </w:rPr>
        <w:t>专业</w:t>
      </w:r>
      <w:r>
        <w:rPr>
          <w:b/>
          <w:spacing w:val="8"/>
          <w:sz w:val="24"/>
        </w:rPr>
        <w:t>理论教育课程设置</w:t>
      </w:r>
    </w:p>
    <w:tbl>
      <w:tblPr>
        <w:tblStyle w:val="15"/>
        <w:tblW w:w="9360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104"/>
        <w:gridCol w:w="2508"/>
        <w:gridCol w:w="660"/>
        <w:gridCol w:w="696"/>
        <w:gridCol w:w="684"/>
        <w:gridCol w:w="660"/>
        <w:gridCol w:w="972"/>
        <w:gridCol w:w="708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tblHeader/>
        </w:trPr>
        <w:tc>
          <w:tcPr>
            <w:tcW w:w="77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41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学分 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776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</w:t>
            </w: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21102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Inorganic 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kern w:val="0"/>
                <w:sz w:val="18"/>
                <w:szCs w:val="18"/>
                <w:shd w:val="clear" w:color="auto" w:fill="FFFFFF"/>
              </w:rPr>
              <w:t>35223101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无机化学实验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Inorganic 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35241102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分析化学</w:t>
            </w:r>
            <w:r>
              <w:rPr>
                <w:sz w:val="18"/>
                <w:szCs w:val="18"/>
              </w:rPr>
              <w:t>Analytical 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35243102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分析化学</w:t>
            </w:r>
            <w:r>
              <w:rPr>
                <w:rFonts w:hint="eastAsia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Analytical 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35241201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有机化学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35243201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有机化学</w:t>
            </w:r>
            <w:r>
              <w:rPr>
                <w:rFonts w:hint="eastAsia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Organic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35241302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物理化学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Physical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35243301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物理化学</w:t>
            </w:r>
            <w:r>
              <w:rPr>
                <w:rFonts w:hint="eastAsia"/>
                <w:sz w:val="18"/>
                <w:szCs w:val="18"/>
              </w:rPr>
              <w:t>实验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Physical Chemistry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19321516</w:t>
            </w:r>
          </w:p>
        </w:tc>
        <w:tc>
          <w:tcPr>
            <w:tcW w:w="2508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化工制图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Chemical Engineering Cartography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3524110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仪器分析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Instrumental Analysis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35243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仪器分析和药物化学实验Experiment of </w:t>
            </w:r>
            <w:r>
              <w:rPr>
                <w:kern w:val="0"/>
                <w:sz w:val="18"/>
                <w:szCs w:val="18"/>
              </w:rPr>
              <w:t>Instrumental Analysis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and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Medicinal Chemistry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35241601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药物化学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Medicinal Chemistry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3524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药物分析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Pharmaceutical  Analysis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35243602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药物分析实验</w:t>
            </w:r>
            <w:r>
              <w:rPr>
                <w:kern w:val="0"/>
                <w:sz w:val="18"/>
                <w:szCs w:val="18"/>
              </w:rPr>
              <w:t>Experiment of Medicinal Analysis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35241302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化工原理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 of Chemical Engineering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35243302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化工原理实验</w:t>
            </w:r>
          </w:p>
          <w:p>
            <w:pPr>
              <w:widowControl/>
              <w:spacing w:line="240" w:lineRule="exact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Experiment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of the </w:t>
            </w:r>
            <w:r>
              <w:rPr>
                <w:sz w:val="18"/>
                <w:szCs w:val="18"/>
                <w:shd w:val="clear" w:color="auto" w:fill="FFFFFF"/>
              </w:rPr>
              <w:t>Chemical Engineering Principle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kern w:val="0"/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  <w:shd w:val="clear" w:color="auto" w:fill="FFFFFF"/>
              </w:rPr>
              <w:t>5</w:t>
            </w:r>
            <w:r>
              <w:rPr>
                <w:sz w:val="18"/>
                <w:szCs w:val="18"/>
                <w:shd w:val="clear" w:color="auto" w:fill="FFFFFF"/>
              </w:rPr>
              <w:t>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rFonts w:hAnsi="宋体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19331514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</w:t>
            </w:r>
            <w:r>
              <w:rPr>
                <w:sz w:val="18"/>
                <w:szCs w:val="18"/>
              </w:rPr>
              <w:t>然药物化学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Natural Medicinal Chemistry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35241603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制药工艺学(含化学、中药制药)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Pharmacy Technology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19341410</w:t>
            </w:r>
          </w:p>
        </w:tc>
        <w:tc>
          <w:tcPr>
            <w:tcW w:w="250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药剂学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Pharmancetics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776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536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  <w:r>
        <w:rPr>
          <w:b/>
          <w:spacing w:val="8"/>
          <w:sz w:val="24"/>
        </w:rPr>
        <w:t>附表四、制药工程专业理论教育课程设置</w:t>
      </w:r>
    </w:p>
    <w:tbl>
      <w:tblPr>
        <w:tblStyle w:val="15"/>
        <w:tblW w:w="9360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993"/>
        <w:gridCol w:w="2619"/>
        <w:gridCol w:w="660"/>
        <w:gridCol w:w="696"/>
        <w:gridCol w:w="684"/>
        <w:gridCol w:w="660"/>
        <w:gridCol w:w="972"/>
        <w:gridCol w:w="708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  <w:r>
              <w:rPr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248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学时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19343410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学科专业实验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Specialized Experiment for Pharmaceutical Engineering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公共部分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35253602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生药学</w:t>
            </w:r>
            <w:r>
              <w:rPr>
                <w:rFonts w:hint="eastAsia"/>
                <w:sz w:val="18"/>
                <w:szCs w:val="18"/>
              </w:rPr>
              <w:t>实验</w:t>
            </w:r>
          </w:p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Experiment of </w:t>
            </w:r>
            <w:r>
              <w:rPr>
                <w:sz w:val="18"/>
                <w:szCs w:val="18"/>
              </w:rPr>
              <w:t>Pharmacognosy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19331206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波谱分析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Spectral Analysis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</w:t>
            </w:r>
            <w:r>
              <w:rPr>
                <w:rFonts w:hint="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19331403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药理与毒理学</w:t>
            </w:r>
          </w:p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Pharmacology &amp; Toxicology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6/3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35251701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药用高分子材料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Officinal Polymer Material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35231705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化工安全与环境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Chemical safety and Environmen</w:t>
            </w:r>
            <w:r>
              <w:rPr>
                <w:rFonts w:hint="eastAsia"/>
                <w:kern w:val="0"/>
                <w:sz w:val="18"/>
                <w:szCs w:val="18"/>
              </w:rPr>
              <w:t>t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19381433</w:t>
            </w:r>
          </w:p>
        </w:tc>
        <w:tc>
          <w:tcPr>
            <w:tcW w:w="2619" w:type="dxa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专业文献检索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Information Search </w:t>
            </w:r>
            <w:r>
              <w:rPr>
                <w:rFonts w:hint="eastAsia"/>
                <w:sz w:val="18"/>
                <w:szCs w:val="18"/>
              </w:rPr>
              <w:t xml:space="preserve">and </w:t>
            </w:r>
            <w:r>
              <w:rPr>
                <w:sz w:val="18"/>
                <w:szCs w:val="18"/>
              </w:rPr>
              <w:t xml:space="preserve">The Science Research </w:t>
            </w:r>
            <w:r>
              <w:rPr>
                <w:rFonts w:hint="eastAsia"/>
                <w:sz w:val="18"/>
                <w:szCs w:val="18"/>
              </w:rPr>
              <w:t>Method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19341607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生物制药学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Biopharmaceutic</w:t>
            </w:r>
            <w:r>
              <w:rPr>
                <w:rFonts w:hint="eastAsia"/>
                <w:kern w:val="0"/>
                <w:sz w:val="18"/>
                <w:szCs w:val="18"/>
              </w:rPr>
              <w:t>als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制药</w:t>
            </w:r>
          </w:p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技术</w:t>
            </w:r>
          </w:p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35251611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制药</w:t>
            </w:r>
            <w:r>
              <w:rPr>
                <w:kern w:val="0"/>
                <w:sz w:val="18"/>
                <w:szCs w:val="18"/>
              </w:rPr>
              <w:t>设备及</w:t>
            </w:r>
            <w:r>
              <w:rPr>
                <w:rFonts w:hint="eastAsia"/>
                <w:kern w:val="0"/>
                <w:sz w:val="18"/>
                <w:szCs w:val="18"/>
              </w:rPr>
              <w:t>工艺</w:t>
            </w:r>
            <w:r>
              <w:rPr>
                <w:kern w:val="0"/>
                <w:sz w:val="18"/>
                <w:szCs w:val="18"/>
              </w:rPr>
              <w:t>设计</w:t>
            </w:r>
          </w:p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 Equipments and Design of Pharmaceutical Plant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bookmarkStart w:id="3" w:name="_GoBack"/>
            <w:bookmarkEnd w:id="3"/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35251604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药物合成化学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Organic Reactions for Drug Synthesis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35253603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药物合成化学</w:t>
            </w:r>
            <w:r>
              <w:rPr>
                <w:rFonts w:hint="eastAsia"/>
                <w:kern w:val="0"/>
                <w:sz w:val="18"/>
                <w:szCs w:val="18"/>
              </w:rPr>
              <w:t>实验</w:t>
            </w:r>
          </w:p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of </w:t>
            </w:r>
            <w:r>
              <w:rPr>
                <w:kern w:val="0"/>
                <w:sz w:val="18"/>
                <w:szCs w:val="18"/>
              </w:rPr>
              <w:t>Organic Reactions for Drug Synthesis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35251615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生物药物分析</w:t>
            </w:r>
          </w:p>
          <w:p>
            <w:pPr>
              <w:widowControl/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Analysis of Biopharmaceuticals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药物</w:t>
            </w:r>
          </w:p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分析</w:t>
            </w:r>
          </w:p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与</w:t>
            </w:r>
          </w:p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检验</w:t>
            </w:r>
          </w:p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35251605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样品前处理</w:t>
            </w:r>
            <w:r>
              <w:rPr>
                <w:rFonts w:hint="eastAsia"/>
                <w:kern w:val="0"/>
                <w:sz w:val="18"/>
                <w:szCs w:val="18"/>
              </w:rPr>
              <w:t>及化妆品分析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Pretreatment of Sample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and </w:t>
            </w:r>
            <w:r>
              <w:rPr>
                <w:kern w:val="0"/>
                <w:sz w:val="18"/>
                <w:szCs w:val="18"/>
              </w:rPr>
              <w:t>Analysis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of Cosmetics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</w:t>
            </w:r>
            <w:r>
              <w:rPr>
                <w:rFonts w:hint="eastAsia"/>
                <w:kern w:val="0"/>
                <w:sz w:val="18"/>
                <w:szCs w:val="18"/>
              </w:rPr>
              <w:t>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highlight w:val="blue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35253604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生物药物</w:t>
            </w:r>
            <w:r>
              <w:rPr>
                <w:rFonts w:hint="eastAsia"/>
                <w:kern w:val="0"/>
                <w:sz w:val="18"/>
                <w:szCs w:val="18"/>
              </w:rPr>
              <w:t>与</w:t>
            </w:r>
            <w:r>
              <w:rPr>
                <w:kern w:val="0"/>
                <w:sz w:val="18"/>
                <w:szCs w:val="18"/>
              </w:rPr>
              <w:t>中药制剂分析</w:t>
            </w:r>
            <w:r>
              <w:rPr>
                <w:rFonts w:hint="eastAsia"/>
                <w:kern w:val="0"/>
                <w:sz w:val="18"/>
                <w:szCs w:val="18"/>
              </w:rPr>
              <w:t>实验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Analysis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Experiment of </w:t>
            </w:r>
            <w:r>
              <w:rPr>
                <w:kern w:val="0"/>
                <w:sz w:val="18"/>
                <w:szCs w:val="18"/>
              </w:rPr>
              <w:t>Biopharmaceuticals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and</w:t>
            </w:r>
            <w:r>
              <w:rPr>
                <w:kern w:val="0"/>
                <w:sz w:val="18"/>
                <w:szCs w:val="18"/>
              </w:rPr>
              <w:t xml:space="preserve"> Chinese Medicine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35251605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中药制剂分析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Preparation Analysis of Chinese Medicine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3525160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精细合成化学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Synthesis for Fine Chemicals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24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药用精细化工方向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35253605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精细合成化学</w:t>
            </w:r>
            <w:r>
              <w:rPr>
                <w:rFonts w:hint="eastAsia"/>
                <w:kern w:val="0"/>
                <w:sz w:val="18"/>
                <w:szCs w:val="18"/>
              </w:rPr>
              <w:t>实验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Experiment of </w:t>
            </w:r>
            <w:r>
              <w:rPr>
                <w:kern w:val="0"/>
                <w:sz w:val="18"/>
                <w:szCs w:val="18"/>
              </w:rPr>
              <w:t>Synthesis for Fine Chemicals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35251611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制药</w:t>
            </w:r>
            <w:r>
              <w:rPr>
                <w:kern w:val="0"/>
                <w:sz w:val="18"/>
                <w:szCs w:val="18"/>
              </w:rPr>
              <w:t>设备及</w:t>
            </w:r>
            <w:r>
              <w:rPr>
                <w:rFonts w:hint="eastAsia"/>
                <w:kern w:val="0"/>
                <w:sz w:val="18"/>
                <w:szCs w:val="18"/>
              </w:rPr>
              <w:t>工艺</w:t>
            </w:r>
            <w:r>
              <w:rPr>
                <w:kern w:val="0"/>
                <w:sz w:val="18"/>
                <w:szCs w:val="18"/>
              </w:rPr>
              <w:t>设计The Equipments and Design of Pharmaceutical Plant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19342920</w:t>
            </w:r>
          </w:p>
        </w:tc>
        <w:tc>
          <w:tcPr>
            <w:tcW w:w="2619" w:type="dxa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精细化工工艺学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Fine Chemistry Technology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6/4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593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7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Align w:val="center"/>
          </w:tcPr>
          <w:p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248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87" w:type="dxa"/>
            <w:gridSpan w:val="3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696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1024</w:t>
            </w:r>
          </w:p>
        </w:tc>
        <w:tc>
          <w:tcPr>
            <w:tcW w:w="684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t>附表五、制药工程</w:t>
      </w:r>
      <w:r>
        <w:rPr>
          <w:rFonts w:hint="eastAsia"/>
          <w:b/>
          <w:spacing w:val="8"/>
          <w:sz w:val="24"/>
        </w:rPr>
        <w:t>专业</w:t>
      </w:r>
      <w:r>
        <w:rPr>
          <w:b/>
          <w:spacing w:val="8"/>
          <w:sz w:val="24"/>
        </w:rPr>
        <w:t>实践教学环节设置</w:t>
      </w:r>
    </w:p>
    <w:tbl>
      <w:tblPr>
        <w:tblStyle w:val="15"/>
        <w:tblW w:w="93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068"/>
        <w:gridCol w:w="3431"/>
        <w:gridCol w:w="665"/>
        <w:gridCol w:w="712"/>
        <w:gridCol w:w="580"/>
        <w:gridCol w:w="2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3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9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205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Ideology-Politics Theory Course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051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31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4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90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23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j1930111</w:t>
            </w:r>
          </w:p>
        </w:tc>
        <w:tc>
          <w:tcPr>
            <w:tcW w:w="343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化工制图课程实习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Practice Course for Chemical Engineering Cartography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20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j3520102</w:t>
            </w:r>
          </w:p>
        </w:tc>
        <w:tc>
          <w:tcPr>
            <w:tcW w:w="343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制药工艺学课程实习</w:t>
            </w:r>
          </w:p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Practice of Pharmacy Technology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20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pacing w:val="8"/>
                <w:sz w:val="18"/>
                <w:szCs w:val="18"/>
              </w:rPr>
            </w:pPr>
            <w:r>
              <w:rPr>
                <w:bCs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j3520103</w:t>
            </w:r>
          </w:p>
        </w:tc>
        <w:tc>
          <w:tcPr>
            <w:tcW w:w="343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生产实习</w:t>
            </w:r>
          </w:p>
          <w:p>
            <w:pPr>
              <w:widowControl/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Production Practice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2051" w:type="dxa"/>
            <w:vAlign w:val="center"/>
          </w:tcPr>
          <w:p>
            <w:pPr>
              <w:autoSpaceDE w:val="0"/>
              <w:autoSpaceDN w:val="0"/>
              <w:adjustRightInd w:val="0"/>
              <w:ind w:left="-61" w:leftChars="-29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j352</w:t>
            </w:r>
            <w:r>
              <w:rPr>
                <w:sz w:val="18"/>
                <w:szCs w:val="18"/>
              </w:rPr>
              <w:t>010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43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毕业实习</w:t>
            </w:r>
          </w:p>
          <w:p>
            <w:pPr>
              <w:widowControl/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Graduate Exercitation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4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bCs/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校外分散/集中进行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j352</w:t>
            </w:r>
            <w:r>
              <w:rPr>
                <w:sz w:val="18"/>
                <w:szCs w:val="18"/>
              </w:rPr>
              <w:t>010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3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毕业设计(论文)</w:t>
            </w:r>
          </w:p>
          <w:p>
            <w:pPr>
              <w:widowControl/>
              <w:spacing w:line="240" w:lineRule="exact"/>
              <w:jc w:val="left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Paper Writing for Graduation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10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校内分散进行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6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j5600105</w:t>
            </w:r>
          </w:p>
        </w:tc>
        <w:tc>
          <w:tcPr>
            <w:tcW w:w="3431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Comprehensive practice of professional innovation and Entrepreneurship </w:t>
            </w:r>
          </w:p>
        </w:tc>
        <w:tc>
          <w:tcPr>
            <w:tcW w:w="665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校</w:t>
            </w:r>
            <w:r>
              <w:rPr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499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23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33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5389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65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27</w:t>
            </w:r>
          </w:p>
        </w:tc>
        <w:tc>
          <w:tcPr>
            <w:tcW w:w="71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44</w:t>
            </w:r>
          </w:p>
        </w:tc>
        <w:tc>
          <w:tcPr>
            <w:tcW w:w="58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051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bCs/>
          <w:szCs w:val="21"/>
        </w:rPr>
      </w:pPr>
    </w:p>
    <w:p>
      <w:pPr>
        <w:spacing w:line="360" w:lineRule="exact"/>
        <w:ind w:firstLine="840" w:firstLineChars="400"/>
        <w:rPr>
          <w:bCs/>
          <w:szCs w:val="21"/>
        </w:rPr>
      </w:pPr>
      <w:r>
        <w:rPr>
          <w:bCs/>
          <w:szCs w:val="21"/>
        </w:rPr>
        <w:t>执笔：</w:t>
      </w:r>
      <w:r>
        <w:rPr>
          <w:rFonts w:hint="eastAsia"/>
          <w:bCs/>
          <w:szCs w:val="21"/>
        </w:rPr>
        <w:t>康信煌</w:t>
      </w:r>
      <w:r>
        <w:rPr>
          <w:bCs/>
          <w:szCs w:val="21"/>
        </w:rPr>
        <w:t xml:space="preserve">                                      教学院长：</w:t>
      </w:r>
      <w:r>
        <w:rPr>
          <w:rFonts w:hint="eastAsia"/>
          <w:bCs/>
          <w:szCs w:val="21"/>
        </w:rPr>
        <w:t>杨杰文</w:t>
      </w:r>
    </w:p>
    <w:p>
      <w:pPr>
        <w:jc w:val="center"/>
        <w:rPr>
          <w:rFonts w:ascii="宋体" w:hAnsi="宋体"/>
          <w:bCs/>
          <w:color w:val="000000"/>
          <w:szCs w:val="21"/>
        </w:rPr>
      </w:pPr>
    </w:p>
    <w:p>
      <w:pPr>
        <w:jc w:val="center"/>
        <w:rPr>
          <w:rFonts w:ascii="宋体" w:hAnsi="宋体"/>
          <w:bCs/>
          <w:color w:val="000000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12028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62392"/>
    <w:multiLevelType w:val="singleLevel"/>
    <w:tmpl w:val="58D6239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222DBF"/>
    <w:rsid w:val="002B472B"/>
    <w:rsid w:val="003E5595"/>
    <w:rsid w:val="00444E61"/>
    <w:rsid w:val="00E65342"/>
    <w:rsid w:val="086478B8"/>
    <w:rsid w:val="1FCD313F"/>
    <w:rsid w:val="26B92296"/>
    <w:rsid w:val="3A3B773C"/>
    <w:rsid w:val="48986BC3"/>
    <w:rsid w:val="4BAD2A5A"/>
    <w:rsid w:val="57222DBF"/>
    <w:rsid w:val="62194EAA"/>
    <w:rsid w:val="63D61264"/>
    <w:rsid w:val="73360CF5"/>
    <w:rsid w:val="78172CB9"/>
    <w:rsid w:val="7D92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Plain Text"/>
    <w:basedOn w:val="1"/>
    <w:uiPriority w:val="0"/>
    <w:rPr>
      <w:rFonts w:ascii="宋体" w:hAnsi="Courier New"/>
      <w:szCs w:val="20"/>
    </w:rPr>
  </w:style>
  <w:style w:type="paragraph" w:styleId="6">
    <w:name w:val="Balloon Text"/>
    <w:basedOn w:val="1"/>
    <w:link w:val="19"/>
    <w:uiPriority w:val="0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39"/>
  </w:style>
  <w:style w:type="paragraph" w:styleId="10">
    <w:name w:val="Body Text Indent 3"/>
    <w:basedOn w:val="1"/>
    <w:uiPriority w:val="0"/>
    <w:pPr>
      <w:spacing w:line="340" w:lineRule="exact"/>
      <w:ind w:firstLine="480"/>
    </w:pPr>
    <w:rPr>
      <w:rFonts w:ascii="Calibri" w:hAnsi="Calibri"/>
      <w:szCs w:val="20"/>
    </w:rPr>
  </w:style>
  <w:style w:type="paragraph" w:styleId="11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basedOn w:val="12"/>
    <w:uiPriority w:val="0"/>
  </w:style>
  <w:style w:type="character" w:styleId="14">
    <w:name w:val="Hyperlink"/>
    <w:basedOn w:val="12"/>
    <w:unhideWhenUsed/>
    <w:uiPriority w:val="99"/>
    <w:rPr>
      <w:color w:val="0563C1" w:themeColor="hyperlink"/>
      <w:u w:val="single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apple-converted-space"/>
    <w:basedOn w:val="12"/>
    <w:qFormat/>
    <w:uiPriority w:val="0"/>
  </w:style>
  <w:style w:type="character" w:customStyle="1" w:styleId="18">
    <w:name w:val="文档结构图 Char"/>
    <w:basedOn w:val="12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9">
    <w:name w:val="批注框文本 Char"/>
    <w:basedOn w:val="12"/>
    <w:link w:val="6"/>
    <w:uiPriority w:val="0"/>
    <w:rPr>
      <w:kern w:val="2"/>
      <w:sz w:val="18"/>
      <w:szCs w:val="18"/>
    </w:rPr>
  </w:style>
  <w:style w:type="character" w:customStyle="1" w:styleId="20">
    <w:name w:val="页脚 Char"/>
    <w:basedOn w:val="12"/>
    <w:link w:val="7"/>
    <w:uiPriority w:val="99"/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44"/>
    <customShpInfo spid="_x0000_s104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0FD12-F247-4C3A-9EA5-355ECE13FC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57</Pages>
  <Words>7827</Words>
  <Characters>44618</Characters>
  <Lines>371</Lines>
  <Paragraphs>104</Paragraphs>
  <TotalTime>0</TotalTime>
  <ScaleCrop>false</ScaleCrop>
  <LinksUpToDate>false</LinksUpToDate>
  <CharactersWithSpaces>52341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2017-10-19T00:43:00Z</dcterms:created>
  <dc:creator>Administrator</dc:creator>
  <cp:lastModifiedBy>Administrator</cp:lastModifiedBy>
  <dcterms:modified xsi:type="dcterms:W3CDTF">2017-11-08T08:00:16Z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