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5765"/>
        <w:gridCol w:w="835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bookmarkStart w:id="0" w:name="_GoBack"/>
            <w:r>
              <w:rPr>
                <w:rFonts w:hint="eastAsia" w:ascii="Times New Roman" w:hAnsi="Times New Roman"/>
                <w:b/>
                <w:bCs w:val="0"/>
                <w:sz w:val="24"/>
                <w:lang w:val="en-US" w:eastAsia="zh-CN"/>
              </w:rPr>
              <w:t>建筑环境与能源应用工程</w:t>
            </w:r>
            <w:bookmarkEnd w:id="0"/>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5765"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专家评审意见</w:t>
            </w:r>
          </w:p>
        </w:tc>
        <w:tc>
          <w:tcPr>
            <w:tcW w:w="8352"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 w:val="24"/>
              </w:rPr>
            </w:pPr>
            <w:r>
              <w:rPr>
                <w:rFonts w:hint="eastAsia" w:ascii="宋体" w:hAnsi="宋体" w:cs="宋体"/>
                <w:sz w:val="24"/>
                <w:lang w:val="en-US" w:eastAsia="zh-CN"/>
              </w:rPr>
              <w:t>1</w:t>
            </w:r>
            <w:r>
              <w:rPr>
                <w:rFonts w:ascii="宋体" w:hAnsi="宋体" w:cs="宋体"/>
                <w:sz w:val="24"/>
              </w:rPr>
              <w:t>.</w:t>
            </w:r>
            <w:r>
              <w:rPr>
                <w:rFonts w:hint="eastAsia" w:ascii="宋体" w:hAnsi="宋体" w:cs="宋体"/>
                <w:sz w:val="24"/>
                <w:lang w:eastAsia="zh-CN"/>
              </w:rPr>
              <w:t>引用</w:t>
            </w:r>
            <w:r>
              <w:rPr>
                <w:rFonts w:hint="eastAsia" w:ascii="宋体" w:hAnsi="宋体" w:cs="宋体"/>
                <w:sz w:val="24"/>
              </w:rPr>
              <w:t>专业认证标准</w:t>
            </w:r>
            <w:r>
              <w:rPr>
                <w:rFonts w:hint="eastAsia" w:ascii="宋体" w:hAnsi="宋体" w:cs="宋体"/>
                <w:sz w:val="24"/>
                <w:lang w:eastAsia="zh-CN"/>
              </w:rPr>
              <w:t>，</w:t>
            </w:r>
            <w:r>
              <w:rPr>
                <w:rFonts w:hint="eastAsia" w:ascii="宋体" w:hAnsi="宋体" w:cs="宋体"/>
                <w:sz w:val="24"/>
              </w:rPr>
              <w:t>优化培养方案</w:t>
            </w:r>
            <w:r>
              <w:rPr>
                <w:rFonts w:hint="eastAsia" w:ascii="宋体" w:hAnsi="宋体" w:cs="宋体"/>
                <w:sz w:val="24"/>
                <w:lang w:val="en-US"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hint="eastAsia" w:ascii="宋体" w:hAnsi="宋体" w:cs="宋体"/>
                <w:sz w:val="24"/>
                <w:lang w:val="en-US" w:eastAsia="zh-CN"/>
              </w:rPr>
              <w:t>2</w:t>
            </w:r>
            <w:r>
              <w:rPr>
                <w:rFonts w:ascii="宋体" w:hAnsi="宋体" w:cs="宋体"/>
                <w:sz w:val="24"/>
              </w:rPr>
              <w:t>.</w:t>
            </w:r>
            <w:r>
              <w:rPr>
                <w:rFonts w:hint="eastAsia" w:ascii="宋体" w:hAnsi="宋体" w:cs="宋体"/>
                <w:sz w:val="24"/>
              </w:rPr>
              <w:t>专业综合性实验、实践课程的设置</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hint="eastAsia" w:ascii="宋体" w:hAnsi="宋体" w:cs="宋体"/>
                <w:sz w:val="24"/>
                <w:lang w:val="en-US" w:eastAsia="zh-CN"/>
              </w:rPr>
              <w:t>3</w:t>
            </w:r>
            <w:r>
              <w:rPr>
                <w:rFonts w:ascii="宋体" w:hAnsi="宋体" w:cs="宋体"/>
                <w:sz w:val="24"/>
              </w:rPr>
              <w:t>.</w:t>
            </w:r>
            <w:r>
              <w:rPr>
                <w:rFonts w:hint="eastAsia" w:ascii="宋体" w:hAnsi="宋体" w:cs="宋体"/>
                <w:sz w:val="24"/>
              </w:rPr>
              <w:t>非涉海涉水专业涉海特色课程的设置</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hint="eastAsia" w:ascii="宋体" w:cs="宋体"/>
                <w:sz w:val="24"/>
                <w:lang w:val="en-US" w:eastAsia="zh-CN"/>
              </w:rPr>
              <w:t>4.</w:t>
            </w:r>
            <w:r>
              <w:rPr>
                <w:rFonts w:hint="eastAsia" w:ascii="宋体" w:hAnsi="宋体" w:cs="宋体"/>
                <w:sz w:val="24"/>
              </w:rPr>
              <w:t>专业核心课程</w:t>
            </w:r>
            <w:r>
              <w:rPr>
                <w:rFonts w:hint="eastAsia" w:ascii="宋体" w:hAnsi="宋体" w:cs="宋体"/>
                <w:sz w:val="24"/>
                <w:lang w:eastAsia="zh-CN"/>
              </w:rPr>
              <w:t>学分（不超总学分</w:t>
            </w:r>
            <w:r>
              <w:rPr>
                <w:rFonts w:hint="eastAsia" w:ascii="宋体" w:hAnsi="宋体" w:cs="宋体"/>
                <w:sz w:val="24"/>
                <w:lang w:val="en-US" w:eastAsia="zh-CN"/>
              </w:rPr>
              <w:t>1/4)</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hAnsi="宋体" w:cs="宋体"/>
                <w:sz w:val="24"/>
                <w:lang w:val="en-US" w:eastAsia="zh-CN"/>
              </w:rPr>
              <w:t>5.</w:t>
            </w:r>
            <w:r>
              <w:rPr>
                <w:rFonts w:hint="eastAsia" w:ascii="宋体" w:hAnsi="宋体" w:cs="宋体"/>
                <w:sz w:val="24"/>
                <w:lang w:eastAsia="zh-CN"/>
              </w:rPr>
              <w:t>学科专业拓展课学分（最低</w:t>
            </w:r>
            <w:r>
              <w:rPr>
                <w:rFonts w:hint="eastAsia" w:ascii="宋体" w:hAnsi="宋体" w:cs="宋体"/>
                <w:sz w:val="24"/>
                <w:lang w:val="en-US" w:eastAsia="zh-CN"/>
              </w:rPr>
              <w:t>10学分，且不包含专业方向和模块化课程）</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hAnsi="宋体" w:cs="宋体"/>
                <w:sz w:val="24"/>
                <w:lang w:val="en-US" w:eastAsia="zh-CN"/>
              </w:rPr>
              <w:t>6.</w:t>
            </w:r>
            <w:r>
              <w:rPr>
                <w:rFonts w:hint="eastAsia" w:ascii="宋体" w:hAnsi="宋体" w:eastAsia="宋体" w:cs="宋体"/>
                <w:sz w:val="24"/>
                <w:szCs w:val="24"/>
              </w:rPr>
              <w:t>因为建筑给排水工程课程的内容和流体输配管网的内容可以合并讲授，建议取消专业教育核心课中的“建筑给排水工程”，可以作为选修课考虑。建议在实践教学环节取消建筑给排水工程课程设计，若有需要可合并在流体输配管网课程设计中。</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rPr>
              <w:t>从本专业的知识设置角度出发</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建议将</w:t>
            </w:r>
            <w:r>
              <w:rPr>
                <w:rFonts w:hint="eastAsia" w:ascii="宋体" w:hAnsi="宋体" w:eastAsia="宋体" w:cs="宋体"/>
                <w:sz w:val="24"/>
                <w:szCs w:val="24"/>
              </w:rPr>
              <w:t>《建筑概论与识图》在跨学科基础课程中较为合适的</w:t>
            </w:r>
            <w:r>
              <w:rPr>
                <w:rFonts w:hint="eastAsia" w:ascii="宋体" w:hAnsi="宋体" w:eastAsia="宋体" w:cs="宋体"/>
                <w:sz w:val="24"/>
                <w:szCs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如果在满足学分的前提下，是否可以在实践教学环节中增加专业核心课程《空调用制冷技术》的课程设计</w:t>
            </w:r>
            <w:r>
              <w:rPr>
                <w:rFonts w:hint="eastAsia" w:ascii="宋体" w:hAnsi="宋体" w:eastAsia="宋体" w:cs="宋体"/>
                <w:sz w:val="24"/>
                <w:szCs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方正小标宋简体">
    <w:altName w:val="微软雅黑"/>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3D03271"/>
    <w:rsid w:val="12DB5170"/>
    <w:rsid w:val="134E2130"/>
    <w:rsid w:val="1E810310"/>
    <w:rsid w:val="28A97586"/>
    <w:rsid w:val="3E687A67"/>
    <w:rsid w:val="3FC10002"/>
    <w:rsid w:val="4EA54AF9"/>
    <w:rsid w:val="57887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2017-12-22T07:20:03Z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