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eastAsia="zh-CN"/>
              </w:rPr>
              <w:t>工业工程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进一步修改完善凝练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引用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专业综合性实验、实践课程的设置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在毕业要求中，可考虑增加团队合作能力培养，以及具备评估工程与管理方案对社会、健康、环境、法律影响的能力。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</w:rPr>
              <w:t>在培养目标、毕业要求与课程体系关系表中的：3-1掌握机械设计制造领域的技术理论基础有三门课程支撑（机械基础I、工程材料、机械制造技术），但实际课程设置时其中两门课没有。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建议：待课程全部确定后，注意“</w:t>
            </w:r>
            <w:r>
              <w:rPr>
                <w:rFonts w:hint="eastAsia" w:ascii="宋体" w:hAnsi="宋体" w:eastAsia="宋体" w:cs="宋体"/>
                <w:sz w:val="24"/>
              </w:rPr>
              <w:t>课程体系关系表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”里课程与后面附表中课程的对应与相符，将每一门课程列入其中并找到对应支撑的指标点和毕业要求，同一门课程可以对应支撑多个指标点和毕业要求。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专业核心课程需要与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教育部颁布的《普通高等学校本科专业目录和专业介绍》（2012年）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国家教指委制订的课程体系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规定的核心知识领域为指导和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对接，现有的有些选修课程应列入必修范围，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比如：</w:t>
            </w:r>
            <w:r>
              <w:rPr>
                <w:rFonts w:hint="eastAsia" w:ascii="宋体" w:hAnsi="宋体" w:eastAsia="宋体" w:cs="宋体"/>
                <w:sz w:val="24"/>
              </w:rPr>
              <w:t>标准化管理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核心课程的课时设置，也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建议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参考教指委相关标准执行，如系统工程与运筹学需要分开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设置成系统工程学和运筹学两门课程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进一步凝练和突出两大专业模块（方向）的地域特色和技术特点，尤其是加强对第二个模块课程的改进与提升。如，结合学校特色或专业教师研究特长，增设1-2门前沿性的选修课，如物联网、大数据方面的课程，以利于开拓学生视野。也可考虑论证开设如创新方法等新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28A97586"/>
    <w:rsid w:val="3FC10002"/>
    <w:rsid w:val="4B6664E8"/>
    <w:rsid w:val="4EA54AF9"/>
    <w:rsid w:val="5788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2017-12-22T07:26:50Z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